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spacing w:line="360" w:lineRule="atLeast"/>
        <w:jc w:val="left"/>
        <w:rPr>
          <w:rFonts w:ascii="Times New Roman" w:hAnsi="Times New Roman" w:eastAsia="仿宋_GB2312" w:cs="Times New Roman"/>
          <w:color w:val="000000"/>
          <w:kern w:val="0"/>
          <w:szCs w:val="21"/>
        </w:rPr>
      </w:pPr>
    </w:p>
    <w:p>
      <w:pPr>
        <w:pStyle w:val="7"/>
        <w:shd w:val="clear" w:color="auto" w:fill="FFFFFF"/>
        <w:rPr>
          <w:rFonts w:ascii="黑体" w:hAnsi="黑体" w:eastAsia="黑体"/>
          <w:b w:val="0"/>
          <w:bCs w:val="0"/>
          <w:color w:val="000000"/>
          <w:sz w:val="36"/>
        </w:rPr>
      </w:pPr>
      <w:r>
        <w:rPr>
          <w:rFonts w:ascii="黑体" w:hAnsi="黑体" w:eastAsia="黑体"/>
          <w:b w:val="0"/>
          <w:bCs w:val="0"/>
          <w:color w:val="000000"/>
          <w:sz w:val="36"/>
        </w:rPr>
        <w:t>《</w:t>
      </w:r>
      <w:r>
        <w:rPr>
          <w:rFonts w:hint="eastAsia" w:ascii="黑体" w:hAnsi="黑体" w:eastAsia="黑体"/>
          <w:b w:val="0"/>
          <w:bCs w:val="0"/>
          <w:color w:val="000000"/>
          <w:sz w:val="36"/>
        </w:rPr>
        <w:t>乘用车企业平均燃料消耗量与新能源汽车积分并行管理办法</w:t>
      </w:r>
      <w:r>
        <w:rPr>
          <w:rFonts w:ascii="黑体" w:hAnsi="黑体" w:eastAsia="黑体"/>
          <w:b w:val="0"/>
          <w:bCs w:val="0"/>
          <w:color w:val="000000"/>
          <w:sz w:val="36"/>
        </w:rPr>
        <w:t>》</w:t>
      </w:r>
      <w:r>
        <w:rPr>
          <w:rFonts w:hint="eastAsia" w:ascii="黑体" w:hAnsi="黑体" w:eastAsia="黑体"/>
          <w:b w:val="0"/>
          <w:bCs w:val="0"/>
          <w:color w:val="000000"/>
          <w:sz w:val="36"/>
        </w:rPr>
        <w:t>修正案（征求意见稿）</w:t>
      </w:r>
    </w:p>
    <w:p>
      <w:pPr>
        <w:widowControl/>
        <w:shd w:val="clear" w:color="auto" w:fill="FFFFFF"/>
        <w:spacing w:line="360" w:lineRule="atLeast"/>
        <w:ind w:firstLine="420" w:firstLineChars="200"/>
        <w:jc w:val="left"/>
        <w:rPr>
          <w:color w:val="000000"/>
        </w:rPr>
      </w:pP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为适应我国节能与新能源汽车产业发展的需要，</w:t>
      </w:r>
      <w:r>
        <w:rPr>
          <w:rFonts w:ascii="Times New Roman" w:hAnsi="Times New Roman" w:eastAsia="仿宋_GB2312" w:cs="Times New Roman"/>
          <w:color w:val="000000"/>
          <w:kern w:val="0"/>
          <w:sz w:val="32"/>
          <w:szCs w:val="21"/>
        </w:rPr>
        <w:t>工业和信息化部</w:t>
      </w:r>
      <w:r>
        <w:rPr>
          <w:rFonts w:hint="eastAsia" w:ascii="Times New Roman" w:hAnsi="Times New Roman" w:eastAsia="仿宋_GB2312" w:cs="Times New Roman"/>
          <w:color w:val="000000"/>
          <w:kern w:val="0"/>
          <w:sz w:val="32"/>
          <w:szCs w:val="21"/>
          <w:lang w:eastAsia="zh-CN"/>
        </w:rPr>
        <w:t>会同相关部门</w:t>
      </w:r>
      <w:r>
        <w:rPr>
          <w:rFonts w:ascii="Times New Roman" w:hAnsi="Times New Roman" w:eastAsia="仿宋_GB2312" w:cs="Times New Roman"/>
          <w:color w:val="000000"/>
          <w:kern w:val="0"/>
          <w:sz w:val="32"/>
          <w:szCs w:val="21"/>
        </w:rPr>
        <w:t>决定对《乘用车企业平均燃料消耗量与新能源汽车积分并行管理办法》做如下修改：</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一、第四条第三款修改为：“本办法所称传统能源乘用车，是指除新能源乘用车以外的，能够燃用汽油、柴油、气体燃料或者醇醚燃料等的乘用车（含非插电式混合动力乘用车）。”</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增加一款，作为第四款：“本办法所称低油耗乘用车，是</w:t>
      </w:r>
      <w:r>
        <w:rPr>
          <w:rFonts w:hint="eastAsia" w:ascii="Times New Roman" w:hAnsi="Times New Roman" w:eastAsia="仿宋_GB2312" w:cs="Times New Roman"/>
          <w:color w:val="000000"/>
          <w:kern w:val="0"/>
          <w:sz w:val="32"/>
          <w:szCs w:val="21"/>
          <w:highlight w:val="none"/>
        </w:rPr>
        <w:t>指综合工况燃料消耗量不超过《乘用车燃料消耗量评价方法及指标</w:t>
      </w:r>
      <w:bookmarkStart w:id="0" w:name="_GoBack"/>
      <w:bookmarkEnd w:id="0"/>
      <w:r>
        <w:rPr>
          <w:rFonts w:hint="eastAsia" w:ascii="Times New Roman" w:hAnsi="Times New Roman" w:eastAsia="仿宋_GB2312" w:cs="Times New Roman"/>
          <w:color w:val="000000"/>
          <w:kern w:val="0"/>
          <w:sz w:val="32"/>
          <w:szCs w:val="21"/>
          <w:highlight w:val="none"/>
        </w:rPr>
        <w:t>》</w:t>
      </w:r>
      <w:r>
        <w:rPr>
          <w:rFonts w:ascii="Times New Roman" w:hAnsi="Times New Roman" w:eastAsia="仿宋_GB2312" w:cs="Times New Roman"/>
          <w:color w:val="000000"/>
          <w:kern w:val="0"/>
          <w:sz w:val="32"/>
          <w:szCs w:val="21"/>
          <w:highlight w:val="none"/>
        </w:rPr>
        <w:t>中对应</w:t>
      </w:r>
      <w:r>
        <w:rPr>
          <w:rFonts w:hint="eastAsia" w:ascii="Times New Roman" w:hAnsi="Times New Roman" w:eastAsia="仿宋_GB2312" w:cs="Times New Roman"/>
          <w:color w:val="000000"/>
          <w:kern w:val="0"/>
          <w:sz w:val="32"/>
          <w:szCs w:val="21"/>
          <w:highlight w:val="none"/>
        </w:rPr>
        <w:t>的车型</w:t>
      </w:r>
      <w:r>
        <w:rPr>
          <w:rFonts w:ascii="Times New Roman" w:hAnsi="Times New Roman" w:eastAsia="仿宋_GB2312" w:cs="Times New Roman"/>
          <w:color w:val="000000"/>
          <w:kern w:val="0"/>
          <w:sz w:val="32"/>
          <w:szCs w:val="21"/>
          <w:highlight w:val="none"/>
        </w:rPr>
        <w:t>燃料消耗量</w:t>
      </w:r>
      <w:r>
        <w:rPr>
          <w:rFonts w:hint="eastAsia" w:ascii="Times New Roman" w:hAnsi="Times New Roman" w:eastAsia="仿宋_GB2312" w:cs="Times New Roman"/>
          <w:color w:val="000000"/>
          <w:kern w:val="0"/>
          <w:sz w:val="32"/>
          <w:szCs w:val="21"/>
          <w:highlight w:val="none"/>
        </w:rPr>
        <w:t>目标值与该核算年度的企业平均燃料消耗量要求之积</w:t>
      </w:r>
      <w:r>
        <w:rPr>
          <w:rFonts w:ascii="Times New Roman" w:hAnsi="Times New Roman" w:eastAsia="仿宋_GB2312" w:cs="Times New Roman"/>
          <w:color w:val="000000"/>
          <w:kern w:val="0"/>
          <w:sz w:val="32"/>
          <w:szCs w:val="21"/>
          <w:highlight w:val="none"/>
        </w:rPr>
        <w:t>（计算结果按四舍五入原则保留一位小数）的传统能源乘用车。</w:t>
      </w:r>
      <w:r>
        <w:rPr>
          <w:rFonts w:hint="eastAsia" w:ascii="Times New Roman" w:hAnsi="Times New Roman" w:eastAsia="仿宋_GB2312" w:cs="Times New Roman"/>
          <w:color w:val="000000"/>
          <w:kern w:val="0"/>
          <w:sz w:val="32"/>
          <w:szCs w:val="21"/>
          <w:highlight w:val="none"/>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二、第十条增加一款，作为第二款：“企业传统能源乘用车平均燃料消耗量实际值，是指新能源汽车不参与核算的</w:t>
      </w:r>
      <w:r>
        <w:rPr>
          <w:rFonts w:ascii="Times New Roman" w:hAnsi="Times New Roman" w:eastAsia="仿宋_GB2312" w:cs="Times New Roman"/>
          <w:color w:val="000000"/>
          <w:kern w:val="0"/>
          <w:sz w:val="32"/>
          <w:szCs w:val="21"/>
        </w:rPr>
        <w:t>企业平均燃料消耗量实际值</w:t>
      </w:r>
      <w:r>
        <w:rPr>
          <w:rFonts w:hint="eastAsia" w:ascii="Times New Roman" w:hAnsi="Times New Roman" w:eastAsia="仿宋_GB2312" w:cs="Times New Roman"/>
          <w:color w:val="000000"/>
          <w:kern w:val="0"/>
          <w:sz w:val="32"/>
          <w:szCs w:val="21"/>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三、</w:t>
      </w:r>
      <w:r>
        <w:rPr>
          <w:rFonts w:ascii="Times New Roman" w:hAnsi="Times New Roman" w:eastAsia="仿宋_GB2312" w:cs="Times New Roman"/>
          <w:color w:val="000000"/>
          <w:kern w:val="0"/>
          <w:sz w:val="32"/>
          <w:szCs w:val="21"/>
        </w:rPr>
        <w:t>第十二条</w:t>
      </w:r>
      <w:r>
        <w:rPr>
          <w:rFonts w:hint="eastAsia" w:ascii="Times New Roman" w:hAnsi="Times New Roman" w:eastAsia="仿宋_GB2312" w:cs="Times New Roman"/>
          <w:color w:val="000000"/>
          <w:kern w:val="0"/>
          <w:sz w:val="32"/>
          <w:szCs w:val="21"/>
        </w:rPr>
        <w:t>第一款</w:t>
      </w:r>
      <w:r>
        <w:rPr>
          <w:rFonts w:ascii="Times New Roman" w:hAnsi="Times New Roman" w:eastAsia="仿宋_GB2312" w:cs="Times New Roman"/>
          <w:color w:val="000000"/>
          <w:kern w:val="0"/>
          <w:sz w:val="32"/>
          <w:szCs w:val="21"/>
        </w:rPr>
        <w:t>修改为：“</w:t>
      </w:r>
      <w:r>
        <w:rPr>
          <w:rFonts w:hint="eastAsia" w:ascii="Times New Roman" w:hAnsi="Times New Roman" w:eastAsia="仿宋_GB2312" w:cs="Times New Roman"/>
          <w:color w:val="000000"/>
          <w:kern w:val="0"/>
          <w:sz w:val="32"/>
          <w:szCs w:val="21"/>
        </w:rPr>
        <w:t>对核算年度生产量</w:t>
      </w:r>
      <w:r>
        <w:rPr>
          <w:rFonts w:ascii="Times New Roman" w:hAnsi="Times New Roman" w:eastAsia="仿宋_GB2312" w:cs="Times New Roman"/>
          <w:color w:val="000000"/>
          <w:kern w:val="0"/>
          <w:sz w:val="32"/>
          <w:szCs w:val="21"/>
        </w:rPr>
        <w:t>2000辆以下并且生产、研发和运营保持独立的境内乘用车生产企业，进口量2000辆以下的获境外乘用车生产企业授权的进口乘用车供应企业，放宽其企业平均燃料消耗量积分的达标要求</w:t>
      </w:r>
      <w:r>
        <w:rPr>
          <w:rFonts w:hint="eastAsia" w:ascii="Times New Roman" w:hAnsi="Times New Roman" w:eastAsia="仿宋_GB2312" w:cs="Times New Roman"/>
          <w:color w:val="000000"/>
          <w:kern w:val="0"/>
          <w:sz w:val="32"/>
          <w:szCs w:val="21"/>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企业</w:t>
      </w:r>
      <w:r>
        <w:rPr>
          <w:rFonts w:ascii="Times New Roman" w:hAnsi="Times New Roman" w:eastAsia="仿宋_GB2312" w:cs="Times New Roman"/>
          <w:color w:val="000000"/>
          <w:kern w:val="0"/>
          <w:sz w:val="32"/>
          <w:szCs w:val="21"/>
        </w:rPr>
        <w:t>2021</w:t>
      </w:r>
      <w:r>
        <w:rPr>
          <w:rFonts w:hint="eastAsia" w:ascii="Times New Roman" w:hAnsi="Times New Roman" w:eastAsia="仿宋_GB2312" w:cs="Times New Roman"/>
          <w:color w:val="000000"/>
          <w:kern w:val="0"/>
          <w:sz w:val="32"/>
          <w:szCs w:val="21"/>
        </w:rPr>
        <w:t>年度至</w:t>
      </w:r>
      <w:r>
        <w:rPr>
          <w:rFonts w:ascii="Times New Roman" w:hAnsi="Times New Roman" w:eastAsia="仿宋_GB2312" w:cs="Times New Roman"/>
          <w:color w:val="000000"/>
          <w:kern w:val="0"/>
          <w:sz w:val="32"/>
          <w:szCs w:val="21"/>
        </w:rPr>
        <w:t>2023</w:t>
      </w:r>
      <w:r>
        <w:rPr>
          <w:rFonts w:hint="eastAsia" w:ascii="Times New Roman" w:hAnsi="Times New Roman" w:eastAsia="仿宋_GB2312" w:cs="Times New Roman"/>
          <w:color w:val="000000"/>
          <w:kern w:val="0"/>
          <w:sz w:val="32"/>
          <w:szCs w:val="21"/>
        </w:rPr>
        <w:t>年度平均燃料消耗量较上一年度下降达到</w:t>
      </w:r>
      <w:r>
        <w:rPr>
          <w:rFonts w:ascii="Times New Roman" w:hAnsi="Times New Roman" w:eastAsia="仿宋_GB2312" w:cs="Times New Roman"/>
          <w:color w:val="000000"/>
          <w:kern w:val="0"/>
          <w:sz w:val="32"/>
          <w:szCs w:val="21"/>
        </w:rPr>
        <w:t>4%</w:t>
      </w:r>
      <w:r>
        <w:rPr>
          <w:rFonts w:hint="eastAsia" w:ascii="Times New Roman" w:hAnsi="Times New Roman" w:eastAsia="仿宋_GB2312" w:cs="Times New Roman"/>
          <w:color w:val="000000"/>
          <w:kern w:val="0"/>
          <w:sz w:val="32"/>
          <w:szCs w:val="21"/>
        </w:rPr>
        <w:t>以上的，其达标值在《乘用车燃料消耗量评价方法及指标》规定的企业平均燃料消耗量要求基础上放宽</w:t>
      </w:r>
      <w:r>
        <w:rPr>
          <w:rFonts w:ascii="Times New Roman" w:hAnsi="Times New Roman" w:eastAsia="仿宋_GB2312" w:cs="Times New Roman"/>
          <w:color w:val="000000"/>
          <w:kern w:val="0"/>
          <w:sz w:val="32"/>
          <w:szCs w:val="21"/>
        </w:rPr>
        <w:t>60%</w:t>
      </w:r>
      <w:r>
        <w:rPr>
          <w:rFonts w:hint="eastAsia" w:ascii="Times New Roman" w:hAnsi="Times New Roman" w:eastAsia="仿宋_GB2312" w:cs="Times New Roman"/>
          <w:color w:val="000000"/>
          <w:kern w:val="0"/>
          <w:sz w:val="32"/>
          <w:szCs w:val="21"/>
        </w:rPr>
        <w:t>；下降</w:t>
      </w:r>
      <w:r>
        <w:rPr>
          <w:rFonts w:ascii="Times New Roman" w:hAnsi="Times New Roman" w:eastAsia="仿宋_GB2312" w:cs="Times New Roman"/>
          <w:color w:val="000000"/>
          <w:kern w:val="0"/>
          <w:sz w:val="32"/>
          <w:szCs w:val="21"/>
        </w:rPr>
        <w:t>2%</w:t>
      </w:r>
      <w:r>
        <w:rPr>
          <w:rFonts w:hint="eastAsia" w:ascii="Times New Roman" w:hAnsi="Times New Roman" w:eastAsia="仿宋_GB2312" w:cs="Times New Roman"/>
          <w:color w:val="000000"/>
          <w:kern w:val="0"/>
          <w:sz w:val="32"/>
          <w:szCs w:val="21"/>
        </w:rPr>
        <w:t>以上不满</w:t>
      </w:r>
      <w:r>
        <w:rPr>
          <w:rFonts w:ascii="Times New Roman" w:hAnsi="Times New Roman" w:eastAsia="仿宋_GB2312" w:cs="Times New Roman"/>
          <w:color w:val="000000"/>
          <w:kern w:val="0"/>
          <w:sz w:val="32"/>
          <w:szCs w:val="21"/>
        </w:rPr>
        <w:t>4%</w:t>
      </w:r>
      <w:r>
        <w:rPr>
          <w:rFonts w:hint="eastAsia" w:ascii="Times New Roman" w:hAnsi="Times New Roman" w:eastAsia="仿宋_GB2312" w:cs="Times New Roman"/>
          <w:color w:val="000000"/>
          <w:kern w:val="0"/>
          <w:sz w:val="32"/>
          <w:szCs w:val="21"/>
        </w:rPr>
        <w:t>的，其达标值放宽</w:t>
      </w:r>
      <w:r>
        <w:rPr>
          <w:rFonts w:ascii="Times New Roman" w:hAnsi="Times New Roman" w:eastAsia="仿宋_GB2312" w:cs="Times New Roman"/>
          <w:color w:val="000000"/>
          <w:kern w:val="0"/>
          <w:sz w:val="32"/>
          <w:szCs w:val="21"/>
        </w:rPr>
        <w:t>30%</w:t>
      </w:r>
      <w:r>
        <w:rPr>
          <w:rFonts w:hint="eastAsia" w:ascii="Times New Roman" w:hAnsi="Times New Roman" w:eastAsia="仿宋_GB2312" w:cs="Times New Roman"/>
          <w:color w:val="000000"/>
          <w:kern w:val="0"/>
          <w:sz w:val="32"/>
          <w:szCs w:val="21"/>
        </w:rPr>
        <w:t>。</w:t>
      </w:r>
      <w:r>
        <w:rPr>
          <w:rFonts w:ascii="Times New Roman" w:hAnsi="Times New Roman" w:eastAsia="仿宋_GB2312" w:cs="Times New Roman"/>
          <w:color w:val="000000"/>
          <w:kern w:val="0"/>
          <w:sz w:val="32"/>
          <w:szCs w:val="21"/>
        </w:rPr>
        <w:t>2024年度及以后年度的</w:t>
      </w:r>
      <w:r>
        <w:rPr>
          <w:rFonts w:hint="eastAsia" w:ascii="Times New Roman" w:hAnsi="Times New Roman" w:eastAsia="仿宋_GB2312" w:cs="Times New Roman"/>
          <w:color w:val="000000"/>
          <w:kern w:val="0"/>
          <w:sz w:val="32"/>
          <w:szCs w:val="21"/>
        </w:rPr>
        <w:t>核算</w:t>
      </w:r>
      <w:r>
        <w:rPr>
          <w:rFonts w:ascii="Times New Roman" w:hAnsi="Times New Roman" w:eastAsia="仿宋_GB2312" w:cs="Times New Roman"/>
          <w:color w:val="000000"/>
          <w:kern w:val="0"/>
          <w:sz w:val="32"/>
          <w:szCs w:val="21"/>
        </w:rPr>
        <w:t>要求，由工业和信息化部另行公布。”</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四、</w:t>
      </w:r>
      <w:r>
        <w:rPr>
          <w:rFonts w:ascii="Times New Roman" w:hAnsi="Times New Roman" w:eastAsia="仿宋_GB2312" w:cs="Times New Roman"/>
          <w:color w:val="000000"/>
          <w:kern w:val="0"/>
          <w:sz w:val="32"/>
          <w:szCs w:val="21"/>
        </w:rPr>
        <w:t>第十六条</w:t>
      </w:r>
      <w:r>
        <w:rPr>
          <w:rFonts w:hint="eastAsia" w:ascii="Times New Roman" w:hAnsi="Times New Roman" w:eastAsia="仿宋_GB2312" w:cs="Times New Roman"/>
          <w:color w:val="000000"/>
          <w:kern w:val="0"/>
          <w:sz w:val="32"/>
          <w:szCs w:val="21"/>
        </w:rPr>
        <w:t>增加一款，作为第二款：“</w:t>
      </w:r>
      <w:r>
        <w:rPr>
          <w:rFonts w:hint="eastAsia" w:ascii="仿宋_GB2312" w:eastAsia="仿宋_GB2312"/>
          <w:color w:val="000000"/>
          <w:sz w:val="32"/>
          <w:szCs w:val="32"/>
        </w:rPr>
        <w:t>计算乘用车企业新能源汽车积分达标值时，</w:t>
      </w:r>
      <w:r>
        <w:rPr>
          <w:rFonts w:hint="eastAsia" w:ascii="Times New Roman" w:hAnsi="Times New Roman" w:eastAsia="仿宋_GB2312" w:cs="Times New Roman"/>
          <w:color w:val="000000"/>
          <w:kern w:val="0"/>
          <w:sz w:val="32"/>
          <w:szCs w:val="21"/>
        </w:rPr>
        <w:t>低油耗乘用车的生产量或者进口量按照其数量的</w:t>
      </w:r>
      <w:r>
        <w:rPr>
          <w:rFonts w:ascii="Times New Roman" w:hAnsi="Times New Roman" w:eastAsia="仿宋_GB2312" w:cs="Times New Roman"/>
          <w:color w:val="000000"/>
          <w:kern w:val="0"/>
          <w:sz w:val="32"/>
          <w:szCs w:val="21"/>
        </w:rPr>
        <w:t>0.2</w:t>
      </w:r>
      <w:r>
        <w:rPr>
          <w:rFonts w:hint="eastAsia" w:ascii="Times New Roman" w:hAnsi="Times New Roman" w:eastAsia="仿宋_GB2312" w:cs="Times New Roman"/>
          <w:color w:val="000000"/>
          <w:kern w:val="0"/>
          <w:sz w:val="32"/>
          <w:szCs w:val="21"/>
        </w:rPr>
        <w:t>倍计算。</w:t>
      </w:r>
      <w:r>
        <w:rPr>
          <w:rFonts w:ascii="Times New Roman" w:hAnsi="Times New Roman" w:eastAsia="仿宋_GB2312" w:cs="Times New Roman"/>
          <w:color w:val="000000"/>
          <w:kern w:val="0"/>
          <w:sz w:val="32"/>
          <w:szCs w:val="21"/>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五、</w:t>
      </w:r>
      <w:r>
        <w:rPr>
          <w:rFonts w:ascii="Times New Roman" w:hAnsi="Times New Roman" w:eastAsia="仿宋_GB2312" w:cs="Times New Roman"/>
          <w:color w:val="000000"/>
          <w:kern w:val="0"/>
          <w:sz w:val="32"/>
          <w:szCs w:val="21"/>
        </w:rPr>
        <w:t>第十七条</w:t>
      </w:r>
      <w:r>
        <w:rPr>
          <w:rFonts w:hint="eastAsia" w:ascii="Times New Roman" w:hAnsi="Times New Roman" w:eastAsia="仿宋_GB2312" w:cs="Times New Roman"/>
          <w:color w:val="000000"/>
          <w:kern w:val="0"/>
          <w:sz w:val="32"/>
          <w:szCs w:val="21"/>
        </w:rPr>
        <w:t>第二款</w:t>
      </w:r>
      <w:r>
        <w:rPr>
          <w:rFonts w:ascii="Times New Roman" w:hAnsi="Times New Roman" w:eastAsia="仿宋_GB2312" w:cs="Times New Roman"/>
          <w:color w:val="000000"/>
          <w:kern w:val="0"/>
          <w:sz w:val="32"/>
          <w:szCs w:val="21"/>
        </w:rPr>
        <w:t>修改为：“2021</w:t>
      </w:r>
      <w:r>
        <w:rPr>
          <w:rFonts w:hint="eastAsia" w:ascii="Times New Roman" w:hAnsi="Times New Roman" w:eastAsia="仿宋_GB2312" w:cs="Times New Roman"/>
          <w:color w:val="000000"/>
          <w:kern w:val="0"/>
          <w:sz w:val="32"/>
          <w:szCs w:val="21"/>
        </w:rPr>
        <w:t>年度、</w:t>
      </w:r>
      <w:r>
        <w:rPr>
          <w:rFonts w:ascii="Times New Roman" w:hAnsi="Times New Roman" w:eastAsia="仿宋_GB2312" w:cs="Times New Roman"/>
          <w:color w:val="000000"/>
          <w:kern w:val="0"/>
          <w:sz w:val="32"/>
          <w:szCs w:val="21"/>
        </w:rPr>
        <w:t>2022</w:t>
      </w:r>
      <w:r>
        <w:rPr>
          <w:rFonts w:hint="eastAsia" w:ascii="Times New Roman" w:hAnsi="Times New Roman" w:eastAsia="仿宋_GB2312" w:cs="Times New Roman"/>
          <w:color w:val="000000"/>
          <w:kern w:val="0"/>
          <w:sz w:val="32"/>
          <w:szCs w:val="21"/>
        </w:rPr>
        <w:t>年度、</w:t>
      </w:r>
      <w:r>
        <w:rPr>
          <w:rFonts w:ascii="Times New Roman" w:hAnsi="Times New Roman" w:eastAsia="仿宋_GB2312" w:cs="Times New Roman"/>
          <w:color w:val="000000"/>
          <w:kern w:val="0"/>
          <w:sz w:val="32"/>
          <w:szCs w:val="21"/>
        </w:rPr>
        <w:t>2023</w:t>
      </w:r>
      <w:r>
        <w:rPr>
          <w:rFonts w:hint="eastAsia" w:ascii="Times New Roman" w:hAnsi="Times New Roman" w:eastAsia="仿宋_GB2312" w:cs="Times New Roman"/>
          <w:color w:val="000000"/>
          <w:kern w:val="0"/>
          <w:sz w:val="32"/>
          <w:szCs w:val="21"/>
        </w:rPr>
        <w:t>年度，新能源汽车积分比例要求分别为</w:t>
      </w:r>
      <w:r>
        <w:rPr>
          <w:rFonts w:ascii="Times New Roman" w:hAnsi="Times New Roman" w:eastAsia="仿宋_GB2312" w:cs="Times New Roman"/>
          <w:color w:val="000000"/>
          <w:kern w:val="0"/>
          <w:sz w:val="32"/>
          <w:szCs w:val="21"/>
        </w:rPr>
        <w:t>14%</w:t>
      </w:r>
      <w:r>
        <w:rPr>
          <w:rFonts w:hint="eastAsia" w:ascii="Times New Roman" w:hAnsi="Times New Roman" w:eastAsia="仿宋_GB2312" w:cs="Times New Roman"/>
          <w:color w:val="000000"/>
          <w:kern w:val="0"/>
          <w:sz w:val="32"/>
          <w:szCs w:val="21"/>
        </w:rPr>
        <w:t>、</w:t>
      </w:r>
      <w:r>
        <w:rPr>
          <w:rFonts w:ascii="Times New Roman" w:hAnsi="Times New Roman" w:eastAsia="仿宋_GB2312" w:cs="Times New Roman"/>
          <w:color w:val="000000"/>
          <w:kern w:val="0"/>
          <w:sz w:val="32"/>
          <w:szCs w:val="21"/>
        </w:rPr>
        <w:t>16%</w:t>
      </w:r>
      <w:r>
        <w:rPr>
          <w:rFonts w:hint="eastAsia" w:ascii="Times New Roman" w:hAnsi="Times New Roman" w:eastAsia="仿宋_GB2312" w:cs="Times New Roman"/>
          <w:color w:val="000000"/>
          <w:kern w:val="0"/>
          <w:sz w:val="32"/>
          <w:szCs w:val="21"/>
        </w:rPr>
        <w:t>、</w:t>
      </w:r>
      <w:r>
        <w:rPr>
          <w:rFonts w:ascii="Times New Roman" w:hAnsi="Times New Roman" w:eastAsia="仿宋_GB2312" w:cs="Times New Roman"/>
          <w:color w:val="000000"/>
          <w:kern w:val="0"/>
          <w:sz w:val="32"/>
          <w:szCs w:val="21"/>
        </w:rPr>
        <w:t>18%</w:t>
      </w:r>
      <w:r>
        <w:rPr>
          <w:rFonts w:hint="eastAsia" w:ascii="Times New Roman" w:hAnsi="Times New Roman" w:eastAsia="仿宋_GB2312" w:cs="Times New Roman"/>
          <w:color w:val="000000"/>
          <w:kern w:val="0"/>
          <w:sz w:val="32"/>
          <w:szCs w:val="21"/>
        </w:rPr>
        <w:t>。</w:t>
      </w:r>
      <w:r>
        <w:rPr>
          <w:rFonts w:ascii="Times New Roman" w:hAnsi="Times New Roman" w:eastAsia="仿宋_GB2312" w:cs="Times New Roman"/>
          <w:color w:val="000000"/>
          <w:kern w:val="0"/>
          <w:sz w:val="32"/>
          <w:szCs w:val="21"/>
        </w:rPr>
        <w:t>2024</w:t>
      </w:r>
      <w:r>
        <w:rPr>
          <w:rFonts w:hint="eastAsia" w:ascii="Times New Roman" w:hAnsi="Times New Roman" w:eastAsia="仿宋_GB2312" w:cs="Times New Roman"/>
          <w:color w:val="000000"/>
          <w:kern w:val="0"/>
          <w:sz w:val="32"/>
          <w:szCs w:val="21"/>
        </w:rPr>
        <w:t>年度及以后年度的新能源汽车积分比例要求，由工业和信息化部另行公布。</w:t>
      </w:r>
      <w:r>
        <w:rPr>
          <w:rFonts w:ascii="Times New Roman" w:hAnsi="Times New Roman" w:eastAsia="仿宋_GB2312" w:cs="Times New Roman"/>
          <w:color w:val="000000"/>
          <w:kern w:val="0"/>
          <w:sz w:val="32"/>
          <w:szCs w:val="21"/>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六、第二十二条第二款修改为：“乘用车企业新能源汽车正积分可以依据本办法自由交易。2</w:t>
      </w:r>
      <w:r>
        <w:rPr>
          <w:rFonts w:ascii="Times New Roman" w:hAnsi="Times New Roman" w:eastAsia="仿宋_GB2312" w:cs="Times New Roman"/>
          <w:color w:val="000000"/>
          <w:kern w:val="0"/>
          <w:sz w:val="32"/>
          <w:szCs w:val="21"/>
        </w:rPr>
        <w:t>019</w:t>
      </w:r>
      <w:r>
        <w:rPr>
          <w:rFonts w:hint="eastAsia" w:ascii="Times New Roman" w:hAnsi="Times New Roman" w:eastAsia="仿宋_GB2312" w:cs="Times New Roman"/>
          <w:color w:val="000000"/>
          <w:kern w:val="0"/>
          <w:sz w:val="32"/>
          <w:szCs w:val="21"/>
        </w:rPr>
        <w:t>年度及以后年度产生的新能源汽车正积分按照下列规则向后结转，结转有效期不超过三年：</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（一）</w:t>
      </w:r>
      <w:r>
        <w:rPr>
          <w:rFonts w:ascii="Times New Roman" w:hAnsi="Times New Roman" w:eastAsia="仿宋_GB2312" w:cs="Times New Roman"/>
          <w:color w:val="000000"/>
          <w:kern w:val="0"/>
          <w:sz w:val="32"/>
          <w:szCs w:val="21"/>
        </w:rPr>
        <w:t>2019</w:t>
      </w:r>
      <w:r>
        <w:rPr>
          <w:rFonts w:hint="eastAsia" w:ascii="Times New Roman" w:hAnsi="Times New Roman" w:eastAsia="仿宋_GB2312" w:cs="Times New Roman"/>
          <w:color w:val="000000"/>
          <w:kern w:val="0"/>
          <w:sz w:val="32"/>
          <w:szCs w:val="21"/>
        </w:rPr>
        <w:t>年度产生的新能源汽车正积分可以等额结转至</w:t>
      </w:r>
      <w:r>
        <w:rPr>
          <w:rFonts w:ascii="Times New Roman" w:hAnsi="Times New Roman" w:eastAsia="仿宋_GB2312" w:cs="Times New Roman"/>
          <w:color w:val="000000"/>
          <w:kern w:val="0"/>
          <w:sz w:val="32"/>
          <w:szCs w:val="21"/>
        </w:rPr>
        <w:t>2020</w:t>
      </w:r>
      <w:r>
        <w:rPr>
          <w:rFonts w:hint="eastAsia" w:ascii="Times New Roman" w:hAnsi="Times New Roman" w:eastAsia="仿宋_GB2312" w:cs="Times New Roman"/>
          <w:color w:val="000000"/>
          <w:kern w:val="0"/>
          <w:sz w:val="32"/>
          <w:szCs w:val="21"/>
        </w:rPr>
        <w:t>年度使用；</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（二）</w:t>
      </w:r>
      <w:r>
        <w:rPr>
          <w:rFonts w:ascii="Times New Roman" w:hAnsi="Times New Roman" w:eastAsia="仿宋_GB2312" w:cs="Times New Roman"/>
          <w:color w:val="000000"/>
          <w:kern w:val="0"/>
          <w:sz w:val="32"/>
          <w:szCs w:val="21"/>
        </w:rPr>
        <w:t>2020年度</w:t>
      </w:r>
      <w:r>
        <w:rPr>
          <w:rFonts w:hint="eastAsia" w:ascii="Times New Roman" w:hAnsi="Times New Roman" w:eastAsia="仿宋_GB2312" w:cs="Times New Roman"/>
          <w:color w:val="000000"/>
          <w:kern w:val="0"/>
          <w:sz w:val="32"/>
          <w:szCs w:val="21"/>
        </w:rPr>
        <w:t>存在</w:t>
      </w:r>
      <w:r>
        <w:rPr>
          <w:rFonts w:ascii="Times New Roman" w:hAnsi="Times New Roman" w:eastAsia="仿宋_GB2312" w:cs="Times New Roman"/>
          <w:color w:val="000000"/>
          <w:kern w:val="0"/>
          <w:sz w:val="32"/>
          <w:szCs w:val="21"/>
        </w:rPr>
        <w:t>的新能源汽车正积分</w:t>
      </w:r>
      <w:r>
        <w:rPr>
          <w:rFonts w:hint="eastAsia" w:ascii="Times New Roman" w:hAnsi="Times New Roman" w:eastAsia="仿宋_GB2312" w:cs="Times New Roman"/>
          <w:color w:val="000000"/>
          <w:kern w:val="0"/>
          <w:sz w:val="32"/>
          <w:szCs w:val="21"/>
        </w:rPr>
        <w:t>，每结转一次，结转比例为5</w:t>
      </w:r>
      <w:r>
        <w:rPr>
          <w:rFonts w:ascii="Times New Roman" w:hAnsi="Times New Roman" w:eastAsia="仿宋_GB2312" w:cs="Times New Roman"/>
          <w:color w:val="000000"/>
          <w:kern w:val="0"/>
          <w:sz w:val="32"/>
          <w:szCs w:val="21"/>
        </w:rPr>
        <w:t>0</w:t>
      </w:r>
      <w:r>
        <w:rPr>
          <w:rFonts w:hint="eastAsia" w:ascii="Times New Roman" w:hAnsi="Times New Roman" w:eastAsia="仿宋_GB2312" w:cs="Times New Roman"/>
          <w:color w:val="000000"/>
          <w:kern w:val="0"/>
          <w:sz w:val="32"/>
          <w:szCs w:val="21"/>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（三）</w:t>
      </w:r>
      <w:r>
        <w:rPr>
          <w:rFonts w:ascii="Times New Roman" w:hAnsi="Times New Roman" w:eastAsia="仿宋_GB2312" w:cs="Times New Roman"/>
          <w:color w:val="000000"/>
          <w:kern w:val="0"/>
          <w:sz w:val="32"/>
          <w:szCs w:val="21"/>
        </w:rPr>
        <w:t>2021年</w:t>
      </w:r>
      <w:r>
        <w:rPr>
          <w:rFonts w:hint="eastAsia" w:ascii="Times New Roman" w:hAnsi="Times New Roman" w:eastAsia="仿宋_GB2312" w:cs="Times New Roman"/>
          <w:color w:val="000000"/>
          <w:kern w:val="0"/>
          <w:sz w:val="32"/>
          <w:szCs w:val="21"/>
        </w:rPr>
        <w:t>度</w:t>
      </w:r>
      <w:r>
        <w:rPr>
          <w:rFonts w:ascii="Times New Roman" w:hAnsi="Times New Roman" w:eastAsia="仿宋_GB2312" w:cs="Times New Roman"/>
          <w:color w:val="000000"/>
          <w:kern w:val="0"/>
          <w:sz w:val="32"/>
          <w:szCs w:val="21"/>
        </w:rPr>
        <w:t>及以后</w:t>
      </w:r>
      <w:r>
        <w:rPr>
          <w:rFonts w:hint="eastAsia" w:ascii="Times New Roman" w:hAnsi="Times New Roman" w:eastAsia="仿宋_GB2312" w:cs="Times New Roman"/>
          <w:color w:val="000000"/>
          <w:kern w:val="0"/>
          <w:sz w:val="32"/>
          <w:szCs w:val="21"/>
        </w:rPr>
        <w:t>年度企业传统能源乘用车平均燃料消耗量实际值与企业平均燃料消耗量达标值的比值不高于1</w:t>
      </w:r>
      <w:r>
        <w:rPr>
          <w:rFonts w:ascii="Times New Roman" w:hAnsi="Times New Roman" w:eastAsia="仿宋_GB2312" w:cs="Times New Roman"/>
          <w:color w:val="000000"/>
          <w:kern w:val="0"/>
          <w:sz w:val="32"/>
          <w:szCs w:val="21"/>
        </w:rPr>
        <w:t>23</w:t>
      </w:r>
      <w:r>
        <w:rPr>
          <w:rFonts w:hint="eastAsia" w:ascii="Times New Roman" w:hAnsi="Times New Roman" w:eastAsia="仿宋_GB2312" w:cs="Times New Roman"/>
          <w:color w:val="000000"/>
          <w:kern w:val="0"/>
          <w:sz w:val="32"/>
          <w:szCs w:val="21"/>
        </w:rPr>
        <w:t>%的，允许其当年度产生的新能源汽车正积分向后结转，每结转一次，结转比例为5</w:t>
      </w:r>
      <w:r>
        <w:rPr>
          <w:rFonts w:ascii="Times New Roman" w:hAnsi="Times New Roman" w:eastAsia="仿宋_GB2312" w:cs="Times New Roman"/>
          <w:color w:val="000000"/>
          <w:kern w:val="0"/>
          <w:sz w:val="32"/>
          <w:szCs w:val="21"/>
        </w:rPr>
        <w:t>0</w:t>
      </w:r>
      <w:r>
        <w:rPr>
          <w:rFonts w:hint="eastAsia" w:ascii="Times New Roman" w:hAnsi="Times New Roman" w:eastAsia="仿宋_GB2312" w:cs="Times New Roman"/>
          <w:color w:val="000000"/>
          <w:kern w:val="0"/>
          <w:sz w:val="32"/>
          <w:szCs w:val="21"/>
        </w:rPr>
        <w:t>%。</w:t>
      </w:r>
      <w:r>
        <w:rPr>
          <w:rFonts w:hint="eastAsia" w:ascii="Times New Roman" w:hAnsi="Times New Roman" w:eastAsia="仿宋_GB2312" w:cs="Times New Roman"/>
          <w:color w:val="000000"/>
          <w:kern w:val="0"/>
          <w:sz w:val="32"/>
          <w:szCs w:val="21"/>
          <w:highlight w:val="none"/>
        </w:rPr>
        <w:t>只生产或者进口</w:t>
      </w:r>
      <w:r>
        <w:rPr>
          <w:rFonts w:ascii="Times New Roman" w:hAnsi="Times New Roman" w:eastAsia="仿宋_GB2312" w:cs="Times New Roman"/>
          <w:color w:val="000000"/>
          <w:kern w:val="0"/>
          <w:sz w:val="32"/>
          <w:szCs w:val="21"/>
          <w:highlight w:val="none"/>
        </w:rPr>
        <w:t>新能源</w:t>
      </w:r>
      <w:r>
        <w:rPr>
          <w:rFonts w:hint="eastAsia" w:ascii="Times New Roman" w:hAnsi="Times New Roman" w:eastAsia="仿宋_GB2312" w:cs="Times New Roman"/>
          <w:color w:val="000000"/>
          <w:kern w:val="0"/>
          <w:sz w:val="32"/>
          <w:szCs w:val="21"/>
          <w:highlight w:val="none"/>
        </w:rPr>
        <w:t>汽车的</w:t>
      </w:r>
      <w:r>
        <w:rPr>
          <w:rFonts w:ascii="Times New Roman" w:hAnsi="Times New Roman" w:eastAsia="仿宋_GB2312" w:cs="Times New Roman"/>
          <w:color w:val="000000"/>
          <w:kern w:val="0"/>
          <w:sz w:val="32"/>
          <w:szCs w:val="21"/>
          <w:highlight w:val="none"/>
        </w:rPr>
        <w:t>企业</w:t>
      </w:r>
      <w:r>
        <w:rPr>
          <w:rFonts w:hint="eastAsia" w:ascii="Times New Roman" w:hAnsi="Times New Roman" w:eastAsia="仿宋_GB2312" w:cs="Times New Roman"/>
          <w:color w:val="000000"/>
          <w:kern w:val="0"/>
          <w:sz w:val="32"/>
          <w:szCs w:val="21"/>
        </w:rPr>
        <w:t>产生的</w:t>
      </w:r>
      <w:r>
        <w:rPr>
          <w:rFonts w:ascii="Times New Roman" w:hAnsi="Times New Roman" w:eastAsia="仿宋_GB2312" w:cs="Times New Roman"/>
          <w:color w:val="000000"/>
          <w:kern w:val="0"/>
          <w:sz w:val="32"/>
          <w:szCs w:val="21"/>
        </w:rPr>
        <w:t>新能源汽车正积分按照50%的比例结转</w:t>
      </w:r>
      <w:r>
        <w:rPr>
          <w:rFonts w:hint="eastAsia" w:ascii="Times New Roman" w:hAnsi="Times New Roman" w:eastAsia="仿宋_GB2312" w:cs="Times New Roman"/>
          <w:color w:val="000000"/>
          <w:kern w:val="0"/>
          <w:sz w:val="32"/>
          <w:szCs w:val="21"/>
        </w:rPr>
        <w:t>。</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七、第三条、第二十一条、第三十一条、第三十二条中的“质检总局”修改为“市场监管总局”。</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八、对附件2《新能源乘用车车型积分计算方法》进行了修改（详见附件1）。</w:t>
      </w:r>
    </w:p>
    <w:p>
      <w:pPr>
        <w:widowControl/>
        <w:shd w:val="clear" w:color="auto" w:fill="FFFFFF"/>
        <w:spacing w:line="360" w:lineRule="atLeast"/>
        <w:ind w:firstLine="640" w:firstLineChars="200"/>
        <w:jc w:val="both"/>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本决定自公布之日起施行。</w:t>
      </w:r>
    </w:p>
    <w:p>
      <w:pPr>
        <w:widowControl/>
        <w:shd w:val="clear" w:color="auto" w:fill="FFFFFF"/>
        <w:wordWrap w:val="0"/>
        <w:spacing w:line="360" w:lineRule="atLeast"/>
        <w:ind w:firstLine="640" w:firstLineChars="200"/>
        <w:jc w:val="right"/>
        <w:rPr>
          <w:rFonts w:ascii="Times New Roman" w:hAnsi="Times New Roman" w:eastAsia="仿宋_GB2312" w:cs="Times New Roman"/>
          <w:color w:val="000000"/>
          <w:kern w:val="0"/>
          <w:sz w:val="32"/>
          <w:szCs w:val="21"/>
        </w:rPr>
      </w:pPr>
    </w:p>
    <w:p>
      <w:pPr>
        <w:widowControl/>
        <w:shd w:val="clear" w:color="auto" w:fill="FFFFFF"/>
        <w:wordWrap w:val="0"/>
        <w:spacing w:line="360" w:lineRule="atLeast"/>
        <w:ind w:firstLine="640" w:firstLineChars="200"/>
        <w:jc w:val="center"/>
        <w:rPr>
          <w:rFonts w:ascii="Times New Roman" w:hAnsi="Times New Roman" w:eastAsia="仿宋_GB2312" w:cs="Times New Roman"/>
          <w:color w:val="000000"/>
          <w:sz w:val="32"/>
          <w:szCs w:val="21"/>
        </w:rPr>
      </w:pPr>
    </w:p>
    <w:p>
      <w:pPr>
        <w:widowControl/>
        <w:shd w:val="clear" w:color="auto" w:fill="FFFFFF"/>
        <w:spacing w:line="360" w:lineRule="atLeast"/>
        <w:ind w:firstLine="640" w:firstLineChars="200"/>
        <w:jc w:val="center"/>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 xml:space="preserve">              </w:t>
      </w:r>
      <w:r>
        <w:rPr>
          <w:rFonts w:hint="eastAsia" w:ascii="Times New Roman" w:hAnsi="Times New Roman" w:eastAsia="仿宋_GB2312" w:cs="Times New Roman"/>
          <w:color w:val="000000"/>
          <w:kern w:val="0"/>
          <w:sz w:val="32"/>
          <w:szCs w:val="21"/>
        </w:rPr>
        <w:t>二○一九年XX月XX日</w:t>
      </w:r>
    </w:p>
    <w:p>
      <w:pPr>
        <w:widowControl/>
        <w:jc w:val="left"/>
        <w:rPr>
          <w:rFonts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br w:type="page"/>
      </w:r>
      <w:r>
        <w:rPr>
          <w:rFonts w:hint="eastAsia" w:ascii="Times New Roman" w:hAnsi="Times New Roman" w:eastAsia="仿宋_GB2312" w:cs="Times New Roman"/>
          <w:color w:val="000000"/>
          <w:kern w:val="0"/>
          <w:sz w:val="32"/>
          <w:szCs w:val="21"/>
        </w:rPr>
        <w:t>附件</w:t>
      </w:r>
      <w:r>
        <w:rPr>
          <w:rFonts w:ascii="Times New Roman" w:hAnsi="Times New Roman" w:eastAsia="仿宋_GB2312" w:cs="Times New Roman"/>
          <w:color w:val="000000"/>
          <w:kern w:val="0"/>
          <w:sz w:val="32"/>
          <w:szCs w:val="21"/>
        </w:rPr>
        <w:t>1</w:t>
      </w:r>
    </w:p>
    <w:p>
      <w:pPr>
        <w:widowControl/>
        <w:shd w:val="clear" w:color="auto" w:fill="FFFFFF"/>
        <w:spacing w:line="360" w:lineRule="atLeast"/>
        <w:jc w:val="center"/>
        <w:rPr>
          <w:rFonts w:ascii="等线" w:hAnsi="等线" w:eastAsia="仿宋_GB2312" w:cs="Times New Roman"/>
          <w:kern w:val="0"/>
          <w:sz w:val="24"/>
          <w:szCs w:val="21"/>
        </w:rPr>
      </w:pPr>
      <w:r>
        <w:rPr>
          <w:rFonts w:hint="eastAsia" w:ascii="宋体" w:hAnsi="宋体" w:eastAsia="宋体" w:cs="Times New Roman"/>
          <w:b/>
          <w:bCs/>
          <w:color w:val="000000"/>
          <w:kern w:val="0"/>
          <w:sz w:val="32"/>
          <w:szCs w:val="21"/>
        </w:rPr>
        <w:t>新能源乘用车车型积分计算方法</w:t>
      </w:r>
    </w:p>
    <w:tbl>
      <w:tblPr>
        <w:tblStyle w:val="10"/>
        <w:tblW w:w="88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013"/>
        <w:gridCol w:w="4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1951" w:type="dxa"/>
            <w:vAlign w:val="center"/>
          </w:tcPr>
          <w:p>
            <w:pPr>
              <w:jc w:val="center"/>
              <w:rPr>
                <w:rFonts w:ascii="仿宋_GB2312" w:hAnsi="等线" w:eastAsia="仿宋_GB2312" w:cs="Times New Roman"/>
                <w:b/>
                <w:bCs/>
                <w:kern w:val="0"/>
                <w:sz w:val="24"/>
                <w:szCs w:val="21"/>
              </w:rPr>
            </w:pPr>
            <w:r>
              <w:rPr>
                <w:rFonts w:hint="eastAsia" w:ascii="仿宋_GB2312" w:hAnsi="等线" w:eastAsia="仿宋_GB2312" w:cs="Times New Roman"/>
                <w:b/>
                <w:bCs/>
                <w:kern w:val="0"/>
                <w:sz w:val="24"/>
                <w:szCs w:val="21"/>
              </w:rPr>
              <w:t>车辆类型</w:t>
            </w:r>
          </w:p>
        </w:tc>
        <w:tc>
          <w:tcPr>
            <w:tcW w:w="2013" w:type="dxa"/>
            <w:vAlign w:val="center"/>
          </w:tcPr>
          <w:p>
            <w:pPr>
              <w:jc w:val="center"/>
              <w:rPr>
                <w:rFonts w:ascii="仿宋_GB2312" w:hAnsi="等线" w:eastAsia="仿宋_GB2312" w:cs="Times New Roman"/>
                <w:b/>
                <w:bCs/>
                <w:kern w:val="0"/>
                <w:sz w:val="24"/>
                <w:szCs w:val="21"/>
              </w:rPr>
            </w:pPr>
            <w:r>
              <w:rPr>
                <w:rFonts w:hint="eastAsia" w:ascii="仿宋_GB2312" w:hAnsi="等线" w:eastAsia="仿宋_GB2312" w:cs="Times New Roman"/>
                <w:b/>
                <w:bCs/>
                <w:kern w:val="0"/>
                <w:sz w:val="24"/>
                <w:szCs w:val="21"/>
              </w:rPr>
              <w:t>标准车型积分</w:t>
            </w:r>
          </w:p>
        </w:tc>
        <w:tc>
          <w:tcPr>
            <w:tcW w:w="4926" w:type="dxa"/>
            <w:vAlign w:val="center"/>
          </w:tcPr>
          <w:p>
            <w:pPr>
              <w:jc w:val="center"/>
              <w:rPr>
                <w:rFonts w:ascii="仿宋_GB2312" w:hAnsi="等线" w:eastAsia="仿宋_GB2312" w:cs="Times New Roman"/>
                <w:b/>
                <w:bCs/>
                <w:kern w:val="0"/>
                <w:sz w:val="24"/>
                <w:szCs w:val="21"/>
              </w:rPr>
            </w:pPr>
            <w:r>
              <w:rPr>
                <w:rFonts w:hint="eastAsia" w:ascii="仿宋_GB2312" w:hAnsi="等线" w:eastAsia="仿宋_GB2312" w:cs="Times New Roman"/>
                <w:b/>
                <w:bCs/>
                <w:kern w:val="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3" w:hRule="atLeast"/>
        </w:trPr>
        <w:tc>
          <w:tcPr>
            <w:tcW w:w="1951" w:type="dxa"/>
            <w:vAlign w:val="center"/>
          </w:tcPr>
          <w:p>
            <w:pPr>
              <w:rPr>
                <w:rFonts w:ascii="仿宋_GB2312" w:hAnsi="等线" w:eastAsia="仿宋_GB2312" w:cs="Times New Roman"/>
                <w:bCs/>
                <w:kern w:val="0"/>
                <w:sz w:val="24"/>
                <w:szCs w:val="21"/>
              </w:rPr>
            </w:pPr>
            <w:r>
              <w:rPr>
                <w:rFonts w:hint="eastAsia" w:ascii="仿宋_GB2312" w:hAnsi="等线" w:eastAsia="仿宋_GB2312" w:cs="Times New Roman"/>
                <w:bCs/>
                <w:kern w:val="0"/>
                <w:sz w:val="24"/>
                <w:szCs w:val="21"/>
              </w:rPr>
              <w:t>纯电动乘用车</w:t>
            </w:r>
          </w:p>
        </w:tc>
        <w:tc>
          <w:tcPr>
            <w:tcW w:w="2013" w:type="dxa"/>
            <w:vAlign w:val="center"/>
          </w:tcPr>
          <w:p>
            <w:pPr>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0.00</w:t>
            </w:r>
            <w:r>
              <w:rPr>
                <w:rFonts w:ascii="仿宋_GB2312" w:hAnsi="等线" w:eastAsia="仿宋_GB2312" w:cs="Times New Roman"/>
                <w:kern w:val="0"/>
                <w:sz w:val="24"/>
                <w:szCs w:val="21"/>
              </w:rPr>
              <w:t>6</w:t>
            </w:r>
            <w:r>
              <w:rPr>
                <w:rFonts w:hint="eastAsia" w:ascii="仿宋_GB2312" w:hAnsi="等线" w:eastAsia="仿宋_GB2312" w:cs="Times New Roman"/>
                <w:kern w:val="0"/>
                <w:sz w:val="24"/>
                <w:szCs w:val="21"/>
              </w:rPr>
              <w:t>×R+0.</w:t>
            </w:r>
            <w:r>
              <w:rPr>
                <w:rFonts w:ascii="仿宋_GB2312" w:hAnsi="等线" w:eastAsia="仿宋_GB2312" w:cs="Times New Roman"/>
                <w:kern w:val="0"/>
                <w:sz w:val="24"/>
                <w:szCs w:val="21"/>
              </w:rPr>
              <w:t>4</w:t>
            </w:r>
          </w:p>
        </w:tc>
        <w:tc>
          <w:tcPr>
            <w:tcW w:w="4926" w:type="dxa"/>
            <w:vMerge w:val="restart"/>
            <w:vAlign w:val="center"/>
          </w:tcPr>
          <w:p>
            <w:pPr>
              <w:spacing w:line="360" w:lineRule="exact"/>
              <w:jc w:val="left"/>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（1）R为电动汽车续驶里程（工况法），单位为km。</w:t>
            </w:r>
          </w:p>
          <w:p>
            <w:pPr>
              <w:spacing w:line="360" w:lineRule="exact"/>
              <w:jc w:val="left"/>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（2）P为燃料电池系统额定功率，单位为kW。</w:t>
            </w:r>
          </w:p>
          <w:p>
            <w:pPr>
              <w:spacing w:line="360" w:lineRule="exact"/>
              <w:jc w:val="left"/>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w:t>
            </w:r>
            <w:r>
              <w:rPr>
                <w:rFonts w:ascii="仿宋_GB2312" w:hAnsi="等线" w:eastAsia="仿宋_GB2312" w:cs="Times New Roman"/>
                <w:kern w:val="0"/>
                <w:sz w:val="24"/>
                <w:szCs w:val="21"/>
              </w:rPr>
              <w:t>3</w:t>
            </w:r>
            <w:r>
              <w:rPr>
                <w:rFonts w:hint="eastAsia" w:ascii="仿宋_GB2312" w:hAnsi="等线" w:eastAsia="仿宋_GB2312" w:cs="Times New Roman"/>
                <w:kern w:val="0"/>
                <w:sz w:val="24"/>
                <w:szCs w:val="21"/>
              </w:rPr>
              <w:t>）纯电动乘用车续驶里程低于150km的，标准车型积分统一为1分。</w:t>
            </w:r>
          </w:p>
          <w:p>
            <w:pPr>
              <w:spacing w:line="360" w:lineRule="exact"/>
              <w:jc w:val="left"/>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w:t>
            </w:r>
            <w:r>
              <w:rPr>
                <w:rFonts w:ascii="仿宋_GB2312" w:hAnsi="等线" w:eastAsia="仿宋_GB2312" w:cs="Times New Roman"/>
                <w:kern w:val="0"/>
                <w:sz w:val="24"/>
                <w:szCs w:val="21"/>
              </w:rPr>
              <w:t>4</w:t>
            </w:r>
            <w:r>
              <w:rPr>
                <w:rFonts w:hint="eastAsia" w:ascii="仿宋_GB2312" w:hAnsi="等线" w:eastAsia="仿宋_GB2312" w:cs="Times New Roman"/>
                <w:kern w:val="0"/>
                <w:sz w:val="24"/>
                <w:szCs w:val="21"/>
              </w:rPr>
              <w:t>）纯电动乘用车标准车型积分上限为3.4分，燃料电池乘用车标准车型积分上限为6分。</w:t>
            </w:r>
          </w:p>
          <w:p>
            <w:pPr>
              <w:spacing w:line="360" w:lineRule="exact"/>
              <w:jc w:val="left"/>
              <w:rPr>
                <w:rFonts w:ascii="仿宋_GB2312" w:hAnsi="等线" w:eastAsia="仿宋_GB2312" w:cs="Times New Roman"/>
                <w:b/>
                <w:kern w:val="0"/>
                <w:sz w:val="24"/>
                <w:szCs w:val="21"/>
              </w:rPr>
            </w:pPr>
            <w:r>
              <w:rPr>
                <w:rFonts w:hint="eastAsia" w:ascii="仿宋_GB2312" w:hAnsi="等线" w:eastAsia="仿宋_GB2312" w:cs="Times New Roman"/>
                <w:kern w:val="0"/>
                <w:sz w:val="24"/>
                <w:szCs w:val="21"/>
              </w:rPr>
              <w:t>（</w:t>
            </w:r>
            <w:r>
              <w:rPr>
                <w:rFonts w:ascii="仿宋_GB2312" w:hAnsi="等线" w:eastAsia="仿宋_GB2312" w:cs="Times New Roman"/>
                <w:kern w:val="0"/>
                <w:sz w:val="24"/>
                <w:szCs w:val="21"/>
              </w:rPr>
              <w:t>5</w:t>
            </w:r>
            <w:r>
              <w:rPr>
                <w:rFonts w:hint="eastAsia" w:ascii="仿宋_GB2312" w:hAnsi="等线" w:eastAsia="仿宋_GB2312" w:cs="Times New Roman"/>
                <w:kern w:val="0"/>
                <w:sz w:val="24"/>
                <w:szCs w:val="21"/>
              </w:rPr>
              <w:t>）车型积分计算结果按四舍五入原则保留两位小数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3" w:hRule="atLeast"/>
        </w:trPr>
        <w:tc>
          <w:tcPr>
            <w:tcW w:w="1951" w:type="dxa"/>
            <w:vAlign w:val="center"/>
          </w:tcPr>
          <w:p>
            <w:pPr>
              <w:rPr>
                <w:rFonts w:ascii="仿宋_GB2312" w:hAnsi="等线" w:eastAsia="仿宋_GB2312" w:cs="Times New Roman"/>
                <w:bCs/>
                <w:kern w:val="0"/>
                <w:sz w:val="24"/>
                <w:szCs w:val="21"/>
              </w:rPr>
            </w:pPr>
            <w:r>
              <w:rPr>
                <w:rFonts w:hint="eastAsia" w:ascii="仿宋_GB2312" w:hAnsi="等线" w:eastAsia="仿宋_GB2312" w:cs="Times New Roman"/>
                <w:bCs/>
                <w:kern w:val="0"/>
                <w:sz w:val="24"/>
                <w:szCs w:val="21"/>
              </w:rPr>
              <w:t>插电式混合动力乘用车</w:t>
            </w:r>
          </w:p>
        </w:tc>
        <w:tc>
          <w:tcPr>
            <w:tcW w:w="2013" w:type="dxa"/>
            <w:vAlign w:val="center"/>
          </w:tcPr>
          <w:p>
            <w:pPr>
              <w:jc w:val="left"/>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1.6</w:t>
            </w:r>
          </w:p>
        </w:tc>
        <w:tc>
          <w:tcPr>
            <w:tcW w:w="4926" w:type="dxa"/>
            <w:vMerge w:val="continue"/>
            <w:vAlign w:val="center"/>
          </w:tcPr>
          <w:p>
            <w:pPr>
              <w:rPr>
                <w:rFonts w:ascii="仿宋_GB2312" w:hAnsi="等线" w:eastAsia="仿宋_GB2312"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4" w:hRule="atLeast"/>
        </w:trPr>
        <w:tc>
          <w:tcPr>
            <w:tcW w:w="1951" w:type="dxa"/>
            <w:vAlign w:val="center"/>
          </w:tcPr>
          <w:p>
            <w:pPr>
              <w:rPr>
                <w:rFonts w:ascii="仿宋_GB2312" w:hAnsi="等线" w:eastAsia="仿宋_GB2312" w:cs="Times New Roman"/>
                <w:bCs/>
                <w:kern w:val="0"/>
                <w:sz w:val="24"/>
                <w:szCs w:val="21"/>
              </w:rPr>
            </w:pPr>
            <w:r>
              <w:rPr>
                <w:rFonts w:hint="eastAsia" w:ascii="仿宋_GB2312" w:hAnsi="等线" w:eastAsia="仿宋_GB2312" w:cs="Times New Roman"/>
                <w:bCs/>
                <w:kern w:val="0"/>
                <w:sz w:val="24"/>
                <w:szCs w:val="21"/>
              </w:rPr>
              <w:t>燃料电池乘用车</w:t>
            </w:r>
          </w:p>
        </w:tc>
        <w:tc>
          <w:tcPr>
            <w:tcW w:w="2013" w:type="dxa"/>
            <w:vAlign w:val="center"/>
          </w:tcPr>
          <w:p>
            <w:pPr>
              <w:jc w:val="left"/>
              <w:rPr>
                <w:rFonts w:ascii="仿宋_GB2312" w:hAnsi="等线" w:eastAsia="仿宋_GB2312" w:cs="Times New Roman"/>
                <w:bCs/>
                <w:kern w:val="0"/>
                <w:sz w:val="32"/>
                <w:szCs w:val="32"/>
              </w:rPr>
            </w:pPr>
            <w:r>
              <w:rPr>
                <w:rFonts w:hint="eastAsia" w:ascii="仿宋_GB2312" w:hAnsi="等线" w:eastAsia="仿宋_GB2312" w:cs="Times New Roman"/>
                <w:kern w:val="0"/>
                <w:sz w:val="24"/>
                <w:szCs w:val="21"/>
              </w:rPr>
              <w:t>0.08×P</w:t>
            </w:r>
          </w:p>
        </w:tc>
        <w:tc>
          <w:tcPr>
            <w:tcW w:w="4926" w:type="dxa"/>
            <w:vMerge w:val="continue"/>
            <w:vAlign w:val="center"/>
          </w:tcPr>
          <w:p>
            <w:pPr>
              <w:rPr>
                <w:rFonts w:ascii="仿宋_GB2312" w:hAnsi="等线" w:eastAsia="仿宋_GB2312"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90" w:type="dxa"/>
            <w:gridSpan w:val="3"/>
            <w:vAlign w:val="center"/>
          </w:tcPr>
          <w:p>
            <w:pPr>
              <w:spacing w:line="360" w:lineRule="exact"/>
              <w:ind w:firstLine="480" w:firstLineChars="200"/>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1. 对纯电动乘用车30分钟最高车速不低于100km/h，电动汽车续驶里程（工况法）不低于100km，且按整备质量（m，kg）不同，纯电动乘用车工况条件下百公里耗电量（Y，kW</w:t>
            </w:r>
            <w:r>
              <w:rPr>
                <w:rFonts w:hint="eastAsia" w:ascii="仿宋_GB2312" w:hAnsi="等线" w:eastAsia="仿宋_GB2312" w:cs="Times New Roman"/>
                <w:sz w:val="24"/>
                <w:szCs w:val="24"/>
              </w:rPr>
              <w:t>·</w:t>
            </w:r>
            <w:r>
              <w:rPr>
                <w:rFonts w:hint="eastAsia" w:ascii="仿宋_GB2312" w:hAnsi="等线" w:eastAsia="仿宋_GB2312" w:cs="Times New Roman"/>
                <w:kern w:val="0"/>
                <w:sz w:val="24"/>
                <w:szCs w:val="21"/>
              </w:rPr>
              <w:t>h</w:t>
            </w:r>
            <w:r>
              <w:rPr>
                <w:rFonts w:hint="eastAsia" w:ascii="仿宋_GB2312" w:hAnsi="等线" w:eastAsia="仿宋_GB2312" w:cs="Times New Roman"/>
              </w:rPr>
              <w:t xml:space="preserve"> </w:t>
            </w:r>
            <w:r>
              <w:rPr>
                <w:rFonts w:hint="eastAsia" w:ascii="仿宋_GB2312" w:hAnsi="等线" w:eastAsia="仿宋_GB2312" w:cs="Times New Roman"/>
                <w:kern w:val="0"/>
                <w:sz w:val="24"/>
                <w:szCs w:val="21"/>
              </w:rPr>
              <w:t>/100km）满足电耗目标值的，车型积分为标准车型积分乘以电耗调整系数（EC系数），其中EC系数为车型电耗目标值除以电耗实际值（EC系数上限为1</w:t>
            </w:r>
            <w:r>
              <w:rPr>
                <w:rFonts w:ascii="仿宋_GB2312" w:hAnsi="等线" w:eastAsia="仿宋_GB2312" w:cs="Times New Roman"/>
                <w:kern w:val="0"/>
                <w:sz w:val="24"/>
                <w:szCs w:val="21"/>
              </w:rPr>
              <w:t>.5</w:t>
            </w:r>
            <w:r>
              <w:rPr>
                <w:rFonts w:hint="eastAsia" w:ascii="仿宋_GB2312" w:hAnsi="等线" w:eastAsia="仿宋_GB2312" w:cs="Times New Roman"/>
                <w:kern w:val="0"/>
                <w:sz w:val="24"/>
                <w:szCs w:val="21"/>
              </w:rPr>
              <w:t xml:space="preserve">倍）；其余车型EC系数按0.5倍计算，并且积分仅限本企业使用。 </w:t>
            </w:r>
          </w:p>
          <w:p>
            <w:pPr>
              <w:spacing w:line="360" w:lineRule="exact"/>
              <w:ind w:firstLine="480" w:firstLineChars="200"/>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纯电动乘用车电能消耗量目标值：m</w:t>
            </w:r>
            <w:r>
              <w:rPr>
                <w:rFonts w:hint="eastAsia" w:ascii="仿宋_GB2312" w:hAnsi="仿宋_GB2312" w:eastAsia="仿宋_GB2312" w:cs="仿宋_GB2312"/>
                <w:kern w:val="0"/>
                <w:sz w:val="24"/>
                <w:szCs w:val="21"/>
              </w:rPr>
              <w:t>≤</w:t>
            </w:r>
            <w:r>
              <w:rPr>
                <w:rFonts w:hint="eastAsia" w:ascii="仿宋_GB2312" w:hAnsi="等线" w:eastAsia="仿宋_GB2312" w:cs="Times New Roman"/>
                <w:kern w:val="0"/>
                <w:sz w:val="24"/>
                <w:szCs w:val="21"/>
              </w:rPr>
              <w:t>1000时，Y</w:t>
            </w:r>
            <w:r>
              <w:rPr>
                <w:rFonts w:hint="eastAsia" w:ascii="仿宋_GB2312" w:hAnsi="仿宋_GB2312" w:eastAsia="仿宋_GB2312" w:cs="仿宋_GB2312"/>
                <w:kern w:val="0"/>
                <w:sz w:val="24"/>
                <w:szCs w:val="21"/>
              </w:rPr>
              <w:t>≤</w:t>
            </w:r>
            <w:r>
              <w:rPr>
                <w:rFonts w:hint="eastAsia" w:ascii="仿宋_GB2312" w:hAnsi="等线" w:eastAsia="仿宋_GB2312" w:cs="Times New Roman"/>
                <w:kern w:val="0"/>
                <w:sz w:val="24"/>
                <w:szCs w:val="21"/>
              </w:rPr>
              <w:t>0.0112×m+0.4；1000</w:t>
            </w:r>
            <w:r>
              <w:rPr>
                <w:rFonts w:hint="eastAsia" w:ascii="仿宋_GB2312" w:hAnsi="仿宋_GB2312" w:eastAsia="仿宋_GB2312" w:cs="仿宋_GB2312"/>
                <w:kern w:val="0"/>
                <w:sz w:val="24"/>
                <w:szCs w:val="21"/>
              </w:rPr>
              <w:t>&lt;</w:t>
            </w:r>
            <w:r>
              <w:rPr>
                <w:rFonts w:hint="eastAsia" w:ascii="仿宋_GB2312" w:hAnsi="等线" w:eastAsia="仿宋_GB2312" w:cs="Times New Roman"/>
                <w:kern w:val="0"/>
                <w:sz w:val="24"/>
                <w:szCs w:val="21"/>
              </w:rPr>
              <w:t>m</w:t>
            </w:r>
            <w:r>
              <w:rPr>
                <w:rFonts w:hint="eastAsia" w:ascii="仿宋_GB2312" w:hAnsi="仿宋_GB2312" w:eastAsia="仿宋_GB2312" w:cs="仿宋_GB2312"/>
                <w:kern w:val="0"/>
                <w:sz w:val="24"/>
                <w:szCs w:val="21"/>
              </w:rPr>
              <w:t>≤</w:t>
            </w:r>
            <w:r>
              <w:rPr>
                <w:rFonts w:hint="eastAsia" w:ascii="仿宋_GB2312" w:hAnsi="等线" w:eastAsia="仿宋_GB2312" w:cs="Times New Roman"/>
                <w:kern w:val="0"/>
                <w:sz w:val="24"/>
                <w:szCs w:val="21"/>
              </w:rPr>
              <w:t>1600时, Y</w:t>
            </w:r>
            <w:r>
              <w:rPr>
                <w:rFonts w:hint="eastAsia" w:ascii="仿宋_GB2312" w:hAnsi="仿宋_GB2312" w:eastAsia="仿宋_GB2312" w:cs="仿宋_GB2312"/>
                <w:kern w:val="0"/>
                <w:sz w:val="24"/>
                <w:szCs w:val="21"/>
              </w:rPr>
              <w:t>≤</w:t>
            </w:r>
            <w:r>
              <w:rPr>
                <w:rFonts w:hint="eastAsia" w:ascii="仿宋_GB2312" w:hAnsi="等线" w:eastAsia="仿宋_GB2312" w:cs="Times New Roman"/>
                <w:kern w:val="0"/>
                <w:sz w:val="24"/>
                <w:szCs w:val="21"/>
              </w:rPr>
              <w:t>0.0078×m+3.81；m</w:t>
            </w:r>
            <w:r>
              <w:rPr>
                <w:rFonts w:hint="eastAsia" w:ascii="仿宋_GB2312" w:hAnsi="仿宋_GB2312" w:eastAsia="仿宋_GB2312" w:cs="仿宋_GB2312"/>
                <w:kern w:val="0"/>
                <w:sz w:val="24"/>
                <w:szCs w:val="21"/>
              </w:rPr>
              <w:t>&gt;</w:t>
            </w:r>
            <w:r>
              <w:rPr>
                <w:rFonts w:hint="eastAsia" w:ascii="仿宋_GB2312" w:hAnsi="等线" w:eastAsia="仿宋_GB2312" w:cs="Times New Roman"/>
                <w:kern w:val="0"/>
                <w:sz w:val="24"/>
                <w:szCs w:val="21"/>
              </w:rPr>
              <w:t>1600时，Y</w:t>
            </w:r>
            <w:r>
              <w:rPr>
                <w:rFonts w:hint="eastAsia" w:ascii="仿宋_GB2312" w:hAnsi="仿宋_GB2312" w:eastAsia="仿宋_GB2312" w:cs="仿宋_GB2312"/>
                <w:kern w:val="0"/>
                <w:sz w:val="24"/>
                <w:szCs w:val="21"/>
              </w:rPr>
              <w:t>≤</w:t>
            </w:r>
            <w:r>
              <w:rPr>
                <w:rFonts w:hint="eastAsia" w:ascii="仿宋_GB2312" w:hAnsi="等线" w:eastAsia="仿宋_GB2312" w:cs="Times New Roman"/>
                <w:kern w:val="0"/>
                <w:sz w:val="24"/>
                <w:szCs w:val="21"/>
              </w:rPr>
              <w:t>0.0038×m+10.28。</w:t>
            </w:r>
          </w:p>
          <w:p>
            <w:pPr>
              <w:spacing w:line="360" w:lineRule="exact"/>
              <w:ind w:firstLine="480" w:firstLineChars="200"/>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2.</w:t>
            </w:r>
            <w:r>
              <w:rPr>
                <w:rFonts w:ascii="仿宋_GB2312" w:hAnsi="等线" w:eastAsia="仿宋_GB2312" w:cs="Times New Roman"/>
                <w:kern w:val="0"/>
                <w:sz w:val="24"/>
                <w:szCs w:val="21"/>
              </w:rPr>
              <w:t xml:space="preserve"> </w:t>
            </w:r>
            <w:r>
              <w:rPr>
                <w:rFonts w:hint="eastAsia" w:ascii="仿宋_GB2312" w:hAnsi="等线" w:eastAsia="仿宋_GB2312" w:cs="Times New Roman"/>
                <w:kern w:val="0"/>
                <w:sz w:val="24"/>
                <w:szCs w:val="21"/>
              </w:rPr>
              <w:t>插电式混合动力乘用车电量保持模式试验的燃料消耗量（不含电能转化的燃料消耗量）与《乘用车燃料消耗量限值》中车型对应的燃料消耗量限值相比应当小于</w:t>
            </w:r>
            <w:r>
              <w:rPr>
                <w:rFonts w:ascii="仿宋_GB2312" w:hAnsi="等线" w:eastAsia="仿宋_GB2312" w:cs="Times New Roman"/>
                <w:kern w:val="0"/>
                <w:sz w:val="24"/>
                <w:szCs w:val="21"/>
              </w:rPr>
              <w:t>70</w:t>
            </w:r>
            <w:r>
              <w:rPr>
                <w:rFonts w:hint="eastAsia" w:ascii="仿宋_GB2312" w:hAnsi="等线" w:eastAsia="仿宋_GB2312" w:cs="Times New Roman"/>
                <w:kern w:val="0"/>
                <w:sz w:val="24"/>
                <w:szCs w:val="21"/>
              </w:rPr>
              <w:t>%；比例不小于</w:t>
            </w:r>
            <w:r>
              <w:rPr>
                <w:rFonts w:ascii="仿宋_GB2312" w:hAnsi="等线" w:eastAsia="仿宋_GB2312" w:cs="Times New Roman"/>
                <w:kern w:val="0"/>
                <w:sz w:val="24"/>
                <w:szCs w:val="21"/>
              </w:rPr>
              <w:t>70</w:t>
            </w:r>
            <w:r>
              <w:rPr>
                <w:rFonts w:hint="eastAsia" w:ascii="仿宋_GB2312" w:hAnsi="等线" w:eastAsia="仿宋_GB2312" w:cs="Times New Roman"/>
                <w:kern w:val="0"/>
                <w:sz w:val="24"/>
                <w:szCs w:val="21"/>
              </w:rPr>
              <w:t>%的，车型积分按照标准车型积分的0.5倍计算；其电量消耗</w:t>
            </w:r>
            <w:r>
              <w:rPr>
                <w:rFonts w:ascii="仿宋_GB2312" w:hAnsi="等线" w:eastAsia="仿宋_GB2312" w:cs="Times New Roman"/>
                <w:kern w:val="0"/>
                <w:sz w:val="24"/>
                <w:szCs w:val="21"/>
              </w:rPr>
              <w:t>模式试验</w:t>
            </w:r>
            <w:r>
              <w:rPr>
                <w:rFonts w:hint="eastAsia" w:ascii="仿宋_GB2312" w:hAnsi="等线" w:eastAsia="仿宋_GB2312" w:cs="Times New Roman"/>
                <w:kern w:val="0"/>
                <w:sz w:val="24"/>
                <w:szCs w:val="21"/>
              </w:rPr>
              <w:t>的</w:t>
            </w:r>
            <w:r>
              <w:rPr>
                <w:rFonts w:ascii="仿宋_GB2312" w:hAnsi="等线" w:eastAsia="仿宋_GB2312" w:cs="Times New Roman"/>
                <w:kern w:val="0"/>
                <w:sz w:val="24"/>
                <w:szCs w:val="21"/>
              </w:rPr>
              <w:t>电能消耗量</w:t>
            </w:r>
            <w:r>
              <w:rPr>
                <w:rFonts w:hint="eastAsia" w:ascii="仿宋_GB2312" w:hAnsi="等线" w:eastAsia="仿宋_GB2312" w:cs="Times New Roman"/>
                <w:kern w:val="0"/>
                <w:sz w:val="24"/>
                <w:szCs w:val="21"/>
              </w:rPr>
              <w:t>应小于</w:t>
            </w:r>
            <w:r>
              <w:rPr>
                <w:rFonts w:ascii="仿宋_GB2312" w:hAnsi="等线" w:eastAsia="仿宋_GB2312" w:cs="Times New Roman"/>
                <w:kern w:val="0"/>
                <w:sz w:val="24"/>
                <w:szCs w:val="21"/>
              </w:rPr>
              <w:t>前款纯电动乘用车电能消耗量</w:t>
            </w:r>
            <w:r>
              <w:rPr>
                <w:rFonts w:hint="eastAsia" w:ascii="仿宋_GB2312" w:hAnsi="等线" w:eastAsia="仿宋_GB2312" w:cs="Times New Roman"/>
                <w:kern w:val="0"/>
                <w:sz w:val="24"/>
                <w:szCs w:val="21"/>
              </w:rPr>
              <w:t>目标</w:t>
            </w:r>
            <w:r>
              <w:rPr>
                <w:rFonts w:ascii="仿宋_GB2312" w:hAnsi="等线" w:eastAsia="仿宋_GB2312" w:cs="Times New Roman"/>
                <w:kern w:val="0"/>
                <w:sz w:val="24"/>
                <w:szCs w:val="21"/>
              </w:rPr>
              <w:t>值的135%，不满足的</w:t>
            </w:r>
            <w:r>
              <w:rPr>
                <w:rFonts w:hint="eastAsia" w:ascii="仿宋_GB2312" w:hAnsi="等线" w:eastAsia="仿宋_GB2312" w:cs="Times New Roman"/>
                <w:kern w:val="0"/>
                <w:sz w:val="24"/>
                <w:szCs w:val="21"/>
              </w:rPr>
              <w:t>车型按照标准车型积分的</w:t>
            </w:r>
            <w:r>
              <w:rPr>
                <w:rFonts w:ascii="仿宋_GB2312" w:hAnsi="等线" w:eastAsia="仿宋_GB2312" w:cs="Times New Roman"/>
                <w:kern w:val="0"/>
                <w:sz w:val="24"/>
                <w:szCs w:val="21"/>
              </w:rPr>
              <w:t>0.5倍</w:t>
            </w:r>
            <w:r>
              <w:rPr>
                <w:rFonts w:hint="eastAsia" w:ascii="仿宋_GB2312" w:hAnsi="等线" w:eastAsia="仿宋_GB2312" w:cs="Times New Roman"/>
                <w:kern w:val="0"/>
                <w:sz w:val="24"/>
                <w:szCs w:val="21"/>
              </w:rPr>
              <w:t>计算</w:t>
            </w:r>
            <w:r>
              <w:rPr>
                <w:rFonts w:ascii="仿宋_GB2312" w:hAnsi="等线" w:eastAsia="仿宋_GB2312" w:cs="Times New Roman"/>
                <w:kern w:val="0"/>
                <w:sz w:val="24"/>
                <w:szCs w:val="21"/>
              </w:rPr>
              <w:t>；</w:t>
            </w:r>
            <w:r>
              <w:rPr>
                <w:rFonts w:hint="eastAsia" w:ascii="仿宋_GB2312" w:hAnsi="等线" w:eastAsia="仿宋_GB2312" w:cs="Times New Roman"/>
                <w:kern w:val="0"/>
                <w:sz w:val="24"/>
                <w:szCs w:val="21"/>
              </w:rPr>
              <w:t>以上两指标积分倍数乘积为最终核算倍数，小于等于0.5的按0.5倍计算，并且积分仅限本企业使用。</w:t>
            </w:r>
          </w:p>
          <w:p>
            <w:pPr>
              <w:spacing w:line="360" w:lineRule="exact"/>
              <w:ind w:firstLine="480" w:firstLineChars="200"/>
              <w:rPr>
                <w:rFonts w:ascii="仿宋_GB2312" w:hAnsi="等线" w:eastAsia="仿宋_GB2312" w:cs="Times New Roman"/>
                <w:kern w:val="0"/>
                <w:sz w:val="24"/>
                <w:szCs w:val="21"/>
              </w:rPr>
            </w:pPr>
            <w:r>
              <w:rPr>
                <w:rFonts w:hint="eastAsia" w:ascii="仿宋_GB2312" w:hAnsi="等线" w:eastAsia="仿宋_GB2312" w:cs="Times New Roman"/>
                <w:kern w:val="0"/>
                <w:sz w:val="24"/>
                <w:szCs w:val="21"/>
              </w:rPr>
              <w:t>3. 燃料电池乘用车续驶里程不低于300km，</w:t>
            </w:r>
            <w:r>
              <w:rPr>
                <w:rFonts w:ascii="Times New Roman" w:hAnsi="Times New Roman" w:eastAsia="仿宋_GB2312" w:cs="Times New Roman"/>
                <w:kern w:val="0"/>
                <w:sz w:val="24"/>
                <w:szCs w:val="21"/>
              </w:rPr>
              <w:t>燃料电池系统额定功率不低于驱动电机额定功率的30%，并且不小于10kW的，车型积分按照标准车型积分的1倍计算。其余车型按照标准车型积分的0.5倍计算</w:t>
            </w:r>
            <w:r>
              <w:rPr>
                <w:rFonts w:hint="eastAsia" w:ascii="Times New Roman" w:hAnsi="Times New Roman" w:eastAsia="仿宋_GB2312" w:cs="Times New Roman"/>
                <w:kern w:val="0"/>
                <w:sz w:val="24"/>
                <w:szCs w:val="21"/>
                <w:lang w:eastAsia="zh-CN"/>
              </w:rPr>
              <w:t>，</w:t>
            </w:r>
            <w:r>
              <w:rPr>
                <w:rFonts w:ascii="Times New Roman" w:hAnsi="Times New Roman" w:eastAsia="仿宋_GB2312" w:cs="Times New Roman"/>
                <w:kern w:val="0"/>
                <w:sz w:val="24"/>
                <w:szCs w:val="21"/>
              </w:rPr>
              <w:t>并且积分仅限本企业使用</w:t>
            </w:r>
            <w:r>
              <w:rPr>
                <w:rFonts w:hint="eastAsia" w:ascii="仿宋_GB2312" w:hAnsi="等线" w:eastAsia="仿宋_GB2312" w:cs="Times New Roman"/>
                <w:kern w:val="0"/>
                <w:sz w:val="24"/>
                <w:szCs w:val="21"/>
              </w:rPr>
              <w:t>。</w:t>
            </w:r>
          </w:p>
        </w:tc>
      </w:tr>
    </w:tbl>
    <w:p>
      <w:pPr>
        <w:widowControl/>
        <w:tabs>
          <w:tab w:val="left" w:pos="1418"/>
          <w:tab w:val="left" w:pos="1701"/>
          <w:tab w:val="left" w:pos="1843"/>
        </w:tabs>
        <w:snapToGrid w:val="0"/>
        <w:ind w:firstLine="440" w:firstLineChars="200"/>
        <w:rPr>
          <w:rFonts w:ascii="仿宋_GB2312" w:hAnsi="等线" w:eastAsia="仿宋_GB2312" w:cs="Times New Roman"/>
          <w:sz w:val="22"/>
          <w:szCs w:val="24"/>
        </w:rPr>
      </w:pPr>
      <w:r>
        <w:rPr>
          <w:rFonts w:hint="eastAsia" w:ascii="仿宋_GB2312" w:hAnsi="等线" w:eastAsia="仿宋_GB2312" w:cs="Times New Roman"/>
          <w:sz w:val="22"/>
          <w:szCs w:val="24"/>
        </w:rPr>
        <w:t>注：</w:t>
      </w:r>
      <w:r>
        <w:rPr>
          <w:rFonts w:ascii="仿宋_GB2312" w:hAnsi="等线" w:eastAsia="仿宋_GB2312" w:cs="Times New Roman"/>
          <w:bCs/>
          <w:kern w:val="0"/>
          <w:sz w:val="22"/>
          <w:szCs w:val="20"/>
        </w:rPr>
        <w:t xml:space="preserve"> </w:t>
      </w:r>
      <w:r>
        <w:rPr>
          <w:rFonts w:ascii="仿宋_GB2312" w:hAnsi="等线" w:eastAsia="仿宋_GB2312" w:cs="Times New Roman"/>
          <w:kern w:val="0"/>
          <w:sz w:val="22"/>
          <w:szCs w:val="20"/>
        </w:rPr>
        <w:t>2021年1月1日之前获得型式批准并且满足GB/T 32694-2016要求的可外接充电式混合动力乘用车，在2023年1</w:t>
      </w:r>
      <w:r>
        <w:rPr>
          <w:rFonts w:hint="eastAsia" w:ascii="仿宋_GB2312" w:hAnsi="等线" w:eastAsia="仿宋_GB2312" w:cs="Times New Roman"/>
          <w:kern w:val="0"/>
          <w:sz w:val="22"/>
          <w:szCs w:val="20"/>
        </w:rPr>
        <w:t>月</w:t>
      </w:r>
      <w:r>
        <w:rPr>
          <w:rFonts w:ascii="仿宋_GB2312" w:hAnsi="等线" w:eastAsia="仿宋_GB2312" w:cs="Times New Roman"/>
          <w:kern w:val="0"/>
          <w:sz w:val="22"/>
          <w:szCs w:val="20"/>
        </w:rPr>
        <w:t>1日之前</w:t>
      </w:r>
      <w:r>
        <w:rPr>
          <w:rFonts w:hint="eastAsia" w:ascii="仿宋_GB2312" w:hAnsi="等线" w:eastAsia="仿宋_GB2312" w:cs="Times New Roman"/>
          <w:kern w:val="0"/>
          <w:sz w:val="22"/>
          <w:szCs w:val="20"/>
        </w:rPr>
        <w:t>可以获得</w:t>
      </w:r>
      <w:r>
        <w:rPr>
          <w:rFonts w:ascii="仿宋_GB2312" w:hAnsi="等线" w:eastAsia="仿宋_GB2312" w:cs="Times New Roman"/>
          <w:kern w:val="0"/>
          <w:sz w:val="22"/>
          <w:szCs w:val="20"/>
        </w:rPr>
        <w:t>1.6</w:t>
      </w:r>
      <w:r>
        <w:rPr>
          <w:rFonts w:hint="eastAsia" w:ascii="仿宋_GB2312" w:hAnsi="等线" w:eastAsia="仿宋_GB2312" w:cs="Times New Roman"/>
          <w:kern w:val="0"/>
          <w:sz w:val="22"/>
          <w:szCs w:val="20"/>
        </w:rPr>
        <w:t>的标准车型积分，具体积分倍数按照上述要求执行</w:t>
      </w:r>
      <w:r>
        <w:rPr>
          <w:rFonts w:ascii="仿宋_GB2312" w:hAnsi="等线" w:eastAsia="仿宋_GB2312" w:cs="Times New Roman"/>
          <w:kern w:val="0"/>
          <w:sz w:val="22"/>
          <w:szCs w:val="20"/>
        </w:rPr>
        <w:t>。</w:t>
      </w:r>
    </w:p>
    <w:p>
      <w:pPr>
        <w:widowControl/>
        <w:tabs>
          <w:tab w:val="left" w:pos="1418"/>
          <w:tab w:val="left" w:pos="1701"/>
          <w:tab w:val="left" w:pos="1843"/>
        </w:tabs>
        <w:snapToGrid w:val="0"/>
        <w:ind w:firstLine="440" w:firstLineChars="200"/>
        <w:rPr>
          <w:rFonts w:ascii="Times New Roman" w:hAnsi="Times New Roman" w:eastAsia="仿宋_GB2312" w:cs="Times New Roman"/>
          <w:color w:val="000000"/>
          <w:kern w:val="0"/>
          <w:sz w:val="32"/>
          <w:szCs w:val="21"/>
        </w:rPr>
      </w:pPr>
      <w:r>
        <w:rPr>
          <w:rFonts w:hint="eastAsia" w:ascii="仿宋_GB2312" w:hAnsi="等线" w:eastAsia="仿宋_GB2312" w:cs="Times New Roman"/>
          <w:sz w:val="22"/>
          <w:szCs w:val="24"/>
        </w:rPr>
        <w:t>在核算乘用车企业新能源汽车积分实际值时，同一车型在核算年度有多个新能源乘用车车型积分的，按照不同的积分分开计算。</w:t>
      </w:r>
    </w:p>
    <w:p>
      <w:pPr>
        <w:widowControl/>
        <w:shd w:val="clear" w:color="auto" w:fill="FFFFFF"/>
        <w:spacing w:line="360" w:lineRule="atLeast"/>
        <w:ind w:firstLine="640" w:firstLineChars="200"/>
        <w:jc w:val="center"/>
        <w:rPr>
          <w:rFonts w:hint="eastAsia" w:ascii="Times New Roman" w:hAnsi="Times New Roman" w:eastAsia="仿宋_GB2312" w:cs="Times New Roman"/>
          <w:color w:val="000000"/>
          <w:kern w:val="0"/>
          <w:sz w:val="32"/>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等线">
    <w:altName w:val="宋体"/>
    <w:panose1 w:val="02010600030101010101"/>
    <w:charset w:val="86"/>
    <w:family w:val="auto"/>
    <w:pitch w:val="default"/>
    <w:sig w:usb0="A00002BF" w:usb1="38CF7CFA" w:usb2="00000016" w:usb3="00000000" w:csb0="0004000F" w:csb1="00000000"/>
  </w:font>
  <w:font w:name="等线 Light">
    <w:altName w:val="宋体"/>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43C77"/>
    <w:rsid w:val="00003D75"/>
    <w:rsid w:val="0000410A"/>
    <w:rsid w:val="00026B94"/>
    <w:rsid w:val="00030468"/>
    <w:rsid w:val="00037487"/>
    <w:rsid w:val="00037B13"/>
    <w:rsid w:val="00037C71"/>
    <w:rsid w:val="00075816"/>
    <w:rsid w:val="00094FA7"/>
    <w:rsid w:val="000A014F"/>
    <w:rsid w:val="000A5BB9"/>
    <w:rsid w:val="000B1721"/>
    <w:rsid w:val="000D4A3F"/>
    <w:rsid w:val="000F1873"/>
    <w:rsid w:val="000F6594"/>
    <w:rsid w:val="000F7D64"/>
    <w:rsid w:val="001262A8"/>
    <w:rsid w:val="00152E90"/>
    <w:rsid w:val="001703E6"/>
    <w:rsid w:val="001C0DD3"/>
    <w:rsid w:val="001E0A09"/>
    <w:rsid w:val="00232203"/>
    <w:rsid w:val="00233097"/>
    <w:rsid w:val="00233954"/>
    <w:rsid w:val="002356A3"/>
    <w:rsid w:val="00243C77"/>
    <w:rsid w:val="002529EF"/>
    <w:rsid w:val="00256E63"/>
    <w:rsid w:val="0026623F"/>
    <w:rsid w:val="002818B5"/>
    <w:rsid w:val="002A201D"/>
    <w:rsid w:val="002B7FDE"/>
    <w:rsid w:val="002C77F4"/>
    <w:rsid w:val="002D21F4"/>
    <w:rsid w:val="002E0E43"/>
    <w:rsid w:val="002E46A2"/>
    <w:rsid w:val="00304696"/>
    <w:rsid w:val="00305949"/>
    <w:rsid w:val="003200C7"/>
    <w:rsid w:val="00320515"/>
    <w:rsid w:val="0033008E"/>
    <w:rsid w:val="00333365"/>
    <w:rsid w:val="00345F3D"/>
    <w:rsid w:val="003515C4"/>
    <w:rsid w:val="003541CE"/>
    <w:rsid w:val="003815A7"/>
    <w:rsid w:val="00387DAC"/>
    <w:rsid w:val="003927F8"/>
    <w:rsid w:val="00396168"/>
    <w:rsid w:val="003A0DA9"/>
    <w:rsid w:val="003D490A"/>
    <w:rsid w:val="003D5F31"/>
    <w:rsid w:val="003D7159"/>
    <w:rsid w:val="003E2665"/>
    <w:rsid w:val="00404681"/>
    <w:rsid w:val="00442EC9"/>
    <w:rsid w:val="004521C6"/>
    <w:rsid w:val="00491A96"/>
    <w:rsid w:val="004A4BD3"/>
    <w:rsid w:val="004C1FD9"/>
    <w:rsid w:val="004E6312"/>
    <w:rsid w:val="004F1817"/>
    <w:rsid w:val="00515E28"/>
    <w:rsid w:val="00523634"/>
    <w:rsid w:val="00532D92"/>
    <w:rsid w:val="005520B8"/>
    <w:rsid w:val="005678B2"/>
    <w:rsid w:val="00581663"/>
    <w:rsid w:val="005B4A64"/>
    <w:rsid w:val="00600D8C"/>
    <w:rsid w:val="0060108B"/>
    <w:rsid w:val="00620405"/>
    <w:rsid w:val="00687760"/>
    <w:rsid w:val="006910CE"/>
    <w:rsid w:val="006A1F67"/>
    <w:rsid w:val="006A44FF"/>
    <w:rsid w:val="006D590C"/>
    <w:rsid w:val="006D6949"/>
    <w:rsid w:val="006D6DF0"/>
    <w:rsid w:val="007343FC"/>
    <w:rsid w:val="00735F14"/>
    <w:rsid w:val="00771108"/>
    <w:rsid w:val="0077324B"/>
    <w:rsid w:val="00796A57"/>
    <w:rsid w:val="007B04B9"/>
    <w:rsid w:val="007C7FEA"/>
    <w:rsid w:val="007D37CC"/>
    <w:rsid w:val="008010D5"/>
    <w:rsid w:val="0081213F"/>
    <w:rsid w:val="008208BC"/>
    <w:rsid w:val="0082211C"/>
    <w:rsid w:val="00825F4F"/>
    <w:rsid w:val="00832286"/>
    <w:rsid w:val="00834BEA"/>
    <w:rsid w:val="0084312F"/>
    <w:rsid w:val="008438B9"/>
    <w:rsid w:val="00844BD4"/>
    <w:rsid w:val="00870B17"/>
    <w:rsid w:val="00896209"/>
    <w:rsid w:val="008A2D2A"/>
    <w:rsid w:val="008E047B"/>
    <w:rsid w:val="008E5B34"/>
    <w:rsid w:val="00917995"/>
    <w:rsid w:val="00934114"/>
    <w:rsid w:val="009364BE"/>
    <w:rsid w:val="00944FA8"/>
    <w:rsid w:val="00957615"/>
    <w:rsid w:val="00960906"/>
    <w:rsid w:val="00977B07"/>
    <w:rsid w:val="009B054E"/>
    <w:rsid w:val="009C67CD"/>
    <w:rsid w:val="009D085F"/>
    <w:rsid w:val="009D389F"/>
    <w:rsid w:val="009F51D4"/>
    <w:rsid w:val="00A0215E"/>
    <w:rsid w:val="00A31B19"/>
    <w:rsid w:val="00A36582"/>
    <w:rsid w:val="00A43B7C"/>
    <w:rsid w:val="00A450F4"/>
    <w:rsid w:val="00AB308F"/>
    <w:rsid w:val="00AB425C"/>
    <w:rsid w:val="00AB4EE9"/>
    <w:rsid w:val="00AC27D2"/>
    <w:rsid w:val="00AE734A"/>
    <w:rsid w:val="00AF4D4C"/>
    <w:rsid w:val="00B07F0B"/>
    <w:rsid w:val="00B16826"/>
    <w:rsid w:val="00B272C6"/>
    <w:rsid w:val="00B34C17"/>
    <w:rsid w:val="00B57A36"/>
    <w:rsid w:val="00B804B2"/>
    <w:rsid w:val="00BC3603"/>
    <w:rsid w:val="00BD768C"/>
    <w:rsid w:val="00BE49A4"/>
    <w:rsid w:val="00BE7496"/>
    <w:rsid w:val="00BF1ADE"/>
    <w:rsid w:val="00C12C4B"/>
    <w:rsid w:val="00C27566"/>
    <w:rsid w:val="00C35834"/>
    <w:rsid w:val="00C70273"/>
    <w:rsid w:val="00C74E0E"/>
    <w:rsid w:val="00C84A21"/>
    <w:rsid w:val="00CB4CAA"/>
    <w:rsid w:val="00CB4D21"/>
    <w:rsid w:val="00CB617B"/>
    <w:rsid w:val="00CB72F9"/>
    <w:rsid w:val="00CC6EE7"/>
    <w:rsid w:val="00CE2636"/>
    <w:rsid w:val="00D55539"/>
    <w:rsid w:val="00D9183E"/>
    <w:rsid w:val="00D94C7C"/>
    <w:rsid w:val="00DA6BC6"/>
    <w:rsid w:val="00DC2FBF"/>
    <w:rsid w:val="00DC5E27"/>
    <w:rsid w:val="00DE2EB0"/>
    <w:rsid w:val="00DF405D"/>
    <w:rsid w:val="00E00F3C"/>
    <w:rsid w:val="00E12CF5"/>
    <w:rsid w:val="00E200B0"/>
    <w:rsid w:val="00E4181D"/>
    <w:rsid w:val="00E608F1"/>
    <w:rsid w:val="00E63C16"/>
    <w:rsid w:val="00E70C17"/>
    <w:rsid w:val="00E74EC1"/>
    <w:rsid w:val="00E77591"/>
    <w:rsid w:val="00EB1F1E"/>
    <w:rsid w:val="00EC2167"/>
    <w:rsid w:val="00EF4F5D"/>
    <w:rsid w:val="00F21B3E"/>
    <w:rsid w:val="00F27984"/>
    <w:rsid w:val="00F37CBB"/>
    <w:rsid w:val="00F41A01"/>
    <w:rsid w:val="00F47C3C"/>
    <w:rsid w:val="00F6000D"/>
    <w:rsid w:val="00F63F80"/>
    <w:rsid w:val="00F65C5C"/>
    <w:rsid w:val="00F920AC"/>
    <w:rsid w:val="00FB1542"/>
    <w:rsid w:val="00FF0EBE"/>
    <w:rsid w:val="01A077E9"/>
    <w:rsid w:val="0B591E2E"/>
    <w:rsid w:val="0C190BBF"/>
    <w:rsid w:val="0CD67F1D"/>
    <w:rsid w:val="1168209E"/>
    <w:rsid w:val="122711D7"/>
    <w:rsid w:val="12355F6F"/>
    <w:rsid w:val="198401DB"/>
    <w:rsid w:val="1A79037D"/>
    <w:rsid w:val="1B5238E3"/>
    <w:rsid w:val="1E1C3D76"/>
    <w:rsid w:val="28753671"/>
    <w:rsid w:val="29363EE5"/>
    <w:rsid w:val="2F437197"/>
    <w:rsid w:val="2FEA0C29"/>
    <w:rsid w:val="33394B99"/>
    <w:rsid w:val="3C061489"/>
    <w:rsid w:val="536846E4"/>
    <w:rsid w:val="5D841F7C"/>
    <w:rsid w:val="6A48066B"/>
    <w:rsid w:val="70A05857"/>
    <w:rsid w:val="71673F9B"/>
    <w:rsid w:val="744D62DD"/>
    <w:rsid w:val="783C2CCF"/>
    <w:rsid w:val="7B47744F"/>
    <w:rsid w:val="7BFE264C"/>
    <w:rsid w:val="7E377B22"/>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semiHidden="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99"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8">
    <w:name w:val="Default Paragraph Font"/>
    <w:unhideWhenUsed/>
    <w:uiPriority w:val="1"/>
  </w:style>
  <w:style w:type="table" w:default="1" w:styleId="10">
    <w:name w:val="Normal Table"/>
    <w:unhideWhenUsed/>
    <w:uiPriority w:val="99"/>
    <w:tblPr>
      <w:tblStyle w:val="10"/>
      <w:tblLayout w:type="fixed"/>
      <w:tblCellMar>
        <w:top w:w="0" w:type="dxa"/>
        <w:left w:w="108" w:type="dxa"/>
        <w:bottom w:w="0" w:type="dxa"/>
        <w:right w:w="108" w:type="dxa"/>
      </w:tblCellMar>
    </w:tblPr>
    <w:tcPr>
      <w:textDirection w:val="lrTb"/>
    </w:tcPr>
  </w:style>
  <w:style w:type="paragraph" w:styleId="2">
    <w:name w:val="Balloon Text"/>
    <w:basedOn w:val="1"/>
    <w:link w:val="16"/>
    <w:unhideWhenUsed/>
    <w:uiPriority w:val="99"/>
    <w:rPr>
      <w:sz w:val="18"/>
      <w:szCs w:val="18"/>
    </w:rPr>
  </w:style>
  <w:style w:type="paragraph" w:styleId="3">
    <w:name w:val="footer"/>
    <w:basedOn w:val="1"/>
    <w:link w:val="14"/>
    <w:unhideWhenUsed/>
    <w:uiPriority w:val="99"/>
    <w:pPr>
      <w:tabs>
        <w:tab w:val="center" w:pos="4153"/>
        <w:tab w:val="right" w:pos="8306"/>
      </w:tabs>
      <w:snapToGrid w:val="0"/>
      <w:jc w:val="left"/>
    </w:pPr>
    <w:rPr>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7"/>
    <w:unhideWhenUsed/>
    <w:uiPriority w:val="99"/>
    <w:pPr>
      <w:snapToGrid w:val="0"/>
      <w:jc w:val="left"/>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link w:val="15"/>
    <w:qFormat/>
    <w:uiPriority w:val="10"/>
    <w:pPr>
      <w:spacing w:before="240" w:after="60"/>
      <w:jc w:val="center"/>
      <w:outlineLvl w:val="0"/>
    </w:pPr>
    <w:rPr>
      <w:rFonts w:ascii="等线 Light" w:hAnsi="等线 Light" w:eastAsia="等线 Light" w:cs="黑体"/>
      <w:b/>
      <w:bCs/>
      <w:sz w:val="32"/>
      <w:szCs w:val="32"/>
    </w:rPr>
  </w:style>
  <w:style w:type="character" w:styleId="9">
    <w:name w:val="footnote reference"/>
    <w:basedOn w:val="8"/>
    <w:unhideWhenUsed/>
    <w:uiPriority w:val="99"/>
    <w:rPr>
      <w:vertAlign w:val="superscript"/>
    </w:rPr>
  </w:style>
  <w:style w:type="paragraph" w:customStyle="1" w:styleId="11">
    <w:name w:val="List Paragraph"/>
    <w:basedOn w:val="1"/>
    <w:qFormat/>
    <w:uiPriority w:val="34"/>
    <w:pPr>
      <w:ind w:firstLine="420" w:firstLineChars="200"/>
    </w:pPr>
  </w:style>
  <w:style w:type="paragraph" w:customStyle="1" w:styleId="12">
    <w:name w:val="Revision"/>
    <w:hidden/>
    <w:semiHidden/>
    <w:uiPriority w:val="99"/>
    <w:rPr>
      <w:rFonts w:ascii="等线" w:hAnsi="等线" w:eastAsia="等线" w:cs="黑体"/>
      <w:kern w:val="2"/>
      <w:sz w:val="21"/>
      <w:szCs w:val="22"/>
      <w:lang w:val="en-US" w:eastAsia="zh-CN" w:bidi="ar-SA"/>
    </w:rPr>
  </w:style>
  <w:style w:type="character" w:customStyle="1" w:styleId="13">
    <w:name w:val="页眉 字符"/>
    <w:basedOn w:val="8"/>
    <w:link w:val="4"/>
    <w:uiPriority w:val="99"/>
    <w:rPr>
      <w:sz w:val="18"/>
      <w:szCs w:val="18"/>
    </w:rPr>
  </w:style>
  <w:style w:type="character" w:customStyle="1" w:styleId="14">
    <w:name w:val="页脚 字符"/>
    <w:basedOn w:val="8"/>
    <w:link w:val="3"/>
    <w:uiPriority w:val="99"/>
    <w:rPr>
      <w:sz w:val="18"/>
      <w:szCs w:val="18"/>
    </w:rPr>
  </w:style>
  <w:style w:type="character" w:customStyle="1" w:styleId="15">
    <w:name w:val="标题 字符"/>
    <w:basedOn w:val="8"/>
    <w:link w:val="7"/>
    <w:uiPriority w:val="10"/>
    <w:rPr>
      <w:rFonts w:ascii="等线 Light" w:hAnsi="等线 Light" w:eastAsia="等线 Light" w:cs="黑体"/>
      <w:b/>
      <w:bCs/>
      <w:sz w:val="32"/>
      <w:szCs w:val="32"/>
    </w:rPr>
  </w:style>
  <w:style w:type="character" w:customStyle="1" w:styleId="16">
    <w:name w:val="批注框文本 字符"/>
    <w:basedOn w:val="8"/>
    <w:link w:val="2"/>
    <w:semiHidden/>
    <w:uiPriority w:val="99"/>
    <w:rPr>
      <w:sz w:val="18"/>
      <w:szCs w:val="18"/>
    </w:rPr>
  </w:style>
  <w:style w:type="character" w:customStyle="1" w:styleId="17">
    <w:name w:val="脚注文本 字符"/>
    <w:basedOn w:val="8"/>
    <w:link w:val="5"/>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181</Words>
  <Characters>1033</Characters>
  <Lines>8</Lines>
  <Paragraphs>2</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2018-09-25T09:10:00Z</dcterms:created>
  <dc:creator>吕力</dc:creator>
  <cp:lastModifiedBy>刘斯明</cp:lastModifiedBy>
  <cp:lastPrinted>2019-07-01T06:28:00Z</cp:lastPrinted>
  <dcterms:modified xsi:type="dcterms:W3CDTF">2019-07-09T05:53:18Z</dcterms:modified>
  <dc:title>《乘用车企业平均燃料消耗量与新能源汽车积分并行管理办法》修正案（征求意见稿）</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