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beforeLines="0" w:afterLines="0" w:line="579" w:lineRule="exact"/>
        <w:jc w:val="center"/>
        <w:rPr>
          <w:rFonts w:ascii="Times New Roman" w:hAnsi="Times New Roman" w:eastAsia="黑体" w:cs="Times New Roman"/>
          <w:color w:val="000000"/>
          <w:spacing w:val="-16"/>
          <w:sz w:val="50"/>
          <w:szCs w:val="50"/>
        </w:rPr>
      </w:pPr>
    </w:p>
    <w:p>
      <w:pPr>
        <w:snapToGrid w:val="0"/>
        <w:spacing w:beforeLines="0" w:afterLines="0" w:line="579" w:lineRule="exact"/>
        <w:jc w:val="center"/>
        <w:rPr>
          <w:rFonts w:ascii="Times New Roman" w:hAnsi="Times New Roman" w:eastAsia="黑体" w:cs="Times New Roman"/>
          <w:color w:val="000000"/>
          <w:spacing w:val="-16"/>
          <w:sz w:val="50"/>
          <w:szCs w:val="50"/>
        </w:rPr>
      </w:pPr>
    </w:p>
    <w:p>
      <w:pPr>
        <w:snapToGrid w:val="0"/>
        <w:spacing w:beforeLines="0" w:afterLines="0" w:line="579" w:lineRule="exact"/>
        <w:jc w:val="center"/>
        <w:rPr>
          <w:rFonts w:ascii="Times New Roman" w:hAnsi="Times New Roman" w:eastAsia="黑体" w:cs="Times New Roman"/>
          <w:color w:val="000000"/>
          <w:spacing w:val="-16"/>
          <w:sz w:val="50"/>
          <w:szCs w:val="50"/>
        </w:rPr>
      </w:pPr>
    </w:p>
    <w:p>
      <w:pPr>
        <w:snapToGrid w:val="0"/>
        <w:spacing w:beforeLines="0" w:afterLines="0" w:line="579" w:lineRule="exact"/>
        <w:jc w:val="center"/>
        <w:rPr>
          <w:rFonts w:ascii="Times New Roman" w:hAnsi="Times New Roman" w:eastAsia="黑体" w:cs="Times New Roman"/>
          <w:color w:val="000000"/>
          <w:spacing w:val="-16"/>
          <w:sz w:val="50"/>
          <w:szCs w:val="50"/>
        </w:rPr>
      </w:pPr>
    </w:p>
    <w:p>
      <w:pPr>
        <w:snapToGrid w:val="0"/>
        <w:spacing w:beforeLines="0" w:afterLines="0" w:line="579" w:lineRule="exact"/>
        <w:jc w:val="center"/>
        <w:rPr>
          <w:rFonts w:ascii="Times New Roman" w:hAnsi="Times New Roman" w:eastAsia="黑体" w:cs="Times New Roman"/>
          <w:color w:val="000000"/>
          <w:spacing w:val="-16"/>
          <w:sz w:val="50"/>
          <w:szCs w:val="50"/>
        </w:rPr>
      </w:pPr>
      <w:bookmarkStart w:id="172" w:name="_GoBack"/>
      <w:bookmarkEnd w:id="172"/>
      <w:r>
        <w:rPr>
          <w:rFonts w:ascii="Times New Roman" w:hAnsi="Times New Roman" w:eastAsia="黑体" w:cs="Times New Roman"/>
          <w:color w:val="000000"/>
          <w:spacing w:val="-16"/>
          <w:sz w:val="50"/>
          <w:szCs w:val="50"/>
        </w:rPr>
        <w:t>浙江省可再生能源发展“十四五”规划</w:t>
      </w:r>
    </w:p>
    <w:p>
      <w:pPr>
        <w:pStyle w:val="7"/>
        <w:adjustRightInd w:val="0"/>
        <w:snapToGrid w:val="0"/>
        <w:spacing w:beforeLines="0" w:afterLines="0" w:line="579" w:lineRule="exact"/>
        <w:textAlignment w:val="center"/>
        <w:rPr>
          <w:color w:val="000000"/>
          <w:kern w:val="0"/>
          <w:sz w:val="44"/>
          <w:szCs w:val="44"/>
        </w:rPr>
      </w:pPr>
    </w:p>
    <w:p>
      <w:pPr>
        <w:snapToGrid w:val="0"/>
        <w:spacing w:beforeLines="0" w:afterLines="0" w:line="579" w:lineRule="exact"/>
        <w:jc w:val="center"/>
        <w:rPr>
          <w:rFonts w:ascii="Times New Roman" w:hAnsi="Times New Roman" w:eastAsia="黑体" w:cs="Times New Roman"/>
          <w:color w:val="000000"/>
          <w:sz w:val="48"/>
          <w:szCs w:val="44"/>
        </w:rPr>
      </w:pPr>
    </w:p>
    <w:p>
      <w:pPr>
        <w:snapToGrid w:val="0"/>
        <w:spacing w:beforeLines="0" w:afterLines="0" w:line="579" w:lineRule="exact"/>
        <w:jc w:val="center"/>
        <w:rPr>
          <w:rFonts w:ascii="Times New Roman" w:hAnsi="Times New Roman" w:eastAsia="黑体" w:cs="Times New Roman"/>
          <w:color w:val="000000"/>
          <w:sz w:val="46"/>
          <w:szCs w:val="42"/>
        </w:rPr>
      </w:pPr>
    </w:p>
    <w:p>
      <w:pPr>
        <w:snapToGrid w:val="0"/>
        <w:spacing w:beforeLines="0" w:afterLines="0" w:line="579" w:lineRule="exact"/>
        <w:jc w:val="center"/>
        <w:rPr>
          <w:rFonts w:ascii="Times New Roman" w:hAnsi="Times New Roman" w:eastAsia="黑体" w:cs="Times New Roman"/>
          <w:color w:val="000000"/>
          <w:sz w:val="46"/>
          <w:szCs w:val="42"/>
        </w:rPr>
      </w:pPr>
    </w:p>
    <w:p>
      <w:pPr>
        <w:snapToGrid w:val="0"/>
        <w:spacing w:beforeLines="0" w:afterLines="0" w:line="579" w:lineRule="exact"/>
        <w:jc w:val="center"/>
        <w:rPr>
          <w:rFonts w:ascii="Times New Roman" w:hAnsi="Times New Roman" w:eastAsia="黑体" w:cs="Times New Roman"/>
          <w:color w:val="000000"/>
          <w:sz w:val="46"/>
          <w:szCs w:val="42"/>
        </w:rPr>
      </w:pPr>
    </w:p>
    <w:p>
      <w:pPr>
        <w:snapToGrid w:val="0"/>
        <w:spacing w:beforeLines="0" w:afterLines="0" w:line="579" w:lineRule="exact"/>
        <w:jc w:val="center"/>
        <w:rPr>
          <w:rFonts w:ascii="Times New Roman" w:hAnsi="Times New Roman" w:eastAsia="黑体" w:cs="Times New Roman"/>
          <w:color w:val="000000"/>
          <w:sz w:val="42"/>
          <w:szCs w:val="38"/>
        </w:rPr>
      </w:pPr>
    </w:p>
    <w:p>
      <w:pPr>
        <w:snapToGrid w:val="0"/>
        <w:spacing w:beforeLines="0" w:afterLines="0" w:line="579" w:lineRule="exact"/>
        <w:jc w:val="center"/>
        <w:rPr>
          <w:rFonts w:hint="eastAsia" w:ascii="Times New Roman" w:hAnsi="Times New Roman" w:eastAsia="黑体" w:cs="Times New Roman"/>
          <w:color w:val="000000"/>
          <w:sz w:val="44"/>
          <w:szCs w:val="40"/>
        </w:rPr>
      </w:pPr>
    </w:p>
    <w:p>
      <w:pPr>
        <w:snapToGrid w:val="0"/>
        <w:spacing w:beforeLines="0" w:afterLines="0" w:line="579" w:lineRule="exact"/>
        <w:jc w:val="center"/>
        <w:rPr>
          <w:rFonts w:hint="eastAsia" w:ascii="Times New Roman" w:hAnsi="Times New Roman" w:eastAsia="黑体" w:cs="Times New Roman"/>
          <w:color w:val="000000"/>
          <w:sz w:val="44"/>
          <w:szCs w:val="40"/>
        </w:rPr>
      </w:pPr>
    </w:p>
    <w:p>
      <w:pPr>
        <w:snapToGrid w:val="0"/>
        <w:spacing w:beforeLines="0" w:afterLines="0" w:line="579" w:lineRule="exact"/>
        <w:jc w:val="center"/>
        <w:rPr>
          <w:rFonts w:hint="eastAsia" w:ascii="Times New Roman" w:hAnsi="Times New Roman" w:eastAsia="黑体" w:cs="Times New Roman"/>
          <w:color w:val="000000"/>
          <w:sz w:val="44"/>
          <w:szCs w:val="40"/>
        </w:rPr>
      </w:pPr>
    </w:p>
    <w:p>
      <w:pPr>
        <w:snapToGrid w:val="0"/>
        <w:spacing w:beforeLines="0" w:afterLines="0" w:line="579" w:lineRule="exact"/>
        <w:jc w:val="center"/>
        <w:rPr>
          <w:rFonts w:hint="eastAsia" w:ascii="Times New Roman" w:hAnsi="Times New Roman" w:eastAsia="黑体" w:cs="Times New Roman"/>
          <w:color w:val="000000"/>
          <w:sz w:val="44"/>
          <w:szCs w:val="40"/>
        </w:rPr>
      </w:pPr>
    </w:p>
    <w:p>
      <w:pPr>
        <w:snapToGrid w:val="0"/>
        <w:spacing w:beforeLines="0" w:afterLines="0" w:line="579" w:lineRule="exact"/>
        <w:jc w:val="center"/>
        <w:rPr>
          <w:rFonts w:hint="eastAsia" w:ascii="Times New Roman" w:hAnsi="Times New Roman" w:eastAsia="黑体" w:cs="Times New Roman"/>
          <w:color w:val="000000"/>
          <w:sz w:val="44"/>
          <w:szCs w:val="40"/>
        </w:rPr>
      </w:pPr>
    </w:p>
    <w:p>
      <w:pPr>
        <w:snapToGrid w:val="0"/>
        <w:spacing w:beforeLines="0" w:afterLines="0" w:line="579" w:lineRule="exact"/>
        <w:jc w:val="center"/>
        <w:rPr>
          <w:rFonts w:hint="eastAsia" w:ascii="Times New Roman" w:hAnsi="Times New Roman" w:eastAsia="黑体" w:cs="Times New Roman"/>
          <w:color w:val="000000"/>
          <w:sz w:val="44"/>
          <w:szCs w:val="40"/>
        </w:rPr>
      </w:pPr>
    </w:p>
    <w:p>
      <w:pPr>
        <w:snapToGrid w:val="0"/>
        <w:spacing w:beforeLines="0" w:afterLines="0" w:line="579" w:lineRule="exact"/>
        <w:jc w:val="center"/>
        <w:rPr>
          <w:rFonts w:hint="eastAsia" w:ascii="Times New Roman" w:hAnsi="Times New Roman" w:eastAsia="黑体" w:cs="Times New Roman"/>
          <w:color w:val="000000"/>
          <w:sz w:val="44"/>
          <w:szCs w:val="40"/>
        </w:rPr>
      </w:pPr>
    </w:p>
    <w:p>
      <w:pPr>
        <w:snapToGrid w:val="0"/>
        <w:spacing w:beforeLines="0" w:afterLines="0" w:line="579" w:lineRule="exact"/>
        <w:jc w:val="center"/>
        <w:rPr>
          <w:rFonts w:hint="eastAsia" w:ascii="Times New Roman" w:hAnsi="Times New Roman" w:eastAsia="黑体" w:cs="Times New Roman"/>
          <w:bCs/>
          <w:color w:val="000000"/>
          <w:sz w:val="34"/>
          <w:szCs w:val="34"/>
          <w:lang w:eastAsia="zh-CN"/>
        </w:rPr>
      </w:pPr>
      <w:r>
        <w:rPr>
          <w:rFonts w:hint="eastAsia" w:ascii="Times New Roman" w:hAnsi="Times New Roman" w:eastAsia="黑体" w:cs="Times New Roman"/>
          <w:bCs/>
          <w:color w:val="000000"/>
          <w:sz w:val="34"/>
          <w:szCs w:val="34"/>
          <w:lang w:eastAsia="zh-CN"/>
        </w:rPr>
        <w:t>浙江省发展和改革委员会</w:t>
      </w:r>
    </w:p>
    <w:p>
      <w:pPr>
        <w:snapToGrid w:val="0"/>
        <w:spacing w:beforeLines="0" w:afterLines="0" w:line="579" w:lineRule="exact"/>
        <w:jc w:val="center"/>
        <w:rPr>
          <w:rFonts w:ascii="Times New Roman" w:hAnsi="Times New Roman" w:eastAsia="黑体" w:cs="Times New Roman"/>
          <w:bCs/>
          <w:color w:val="000000"/>
          <w:sz w:val="34"/>
          <w:szCs w:val="34"/>
        </w:rPr>
      </w:pPr>
      <w:r>
        <w:rPr>
          <w:rFonts w:ascii="Times New Roman" w:hAnsi="Times New Roman" w:eastAsia="黑体" w:cs="Times New Roman"/>
          <w:bCs/>
          <w:color w:val="000000"/>
          <w:sz w:val="34"/>
          <w:szCs w:val="34"/>
        </w:rPr>
        <w:t>浙江省能源局</w:t>
      </w:r>
    </w:p>
    <w:p>
      <w:pPr>
        <w:snapToGrid w:val="0"/>
        <w:spacing w:beforeLines="0" w:afterLines="0" w:line="579" w:lineRule="exact"/>
        <w:jc w:val="center"/>
        <w:rPr>
          <w:rFonts w:ascii="Times New Roman" w:hAnsi="Times New Roman" w:eastAsia="黑体" w:cs="Times New Roman"/>
          <w:color w:val="000000"/>
          <w:sz w:val="34"/>
          <w:szCs w:val="34"/>
        </w:rPr>
      </w:pPr>
      <w:r>
        <w:rPr>
          <w:rFonts w:ascii="Times New Roman" w:hAnsi="Times New Roman" w:eastAsia="黑体" w:cs="Times New Roman"/>
          <w:bCs/>
          <w:color w:val="000000"/>
          <w:sz w:val="34"/>
          <w:szCs w:val="34"/>
        </w:rPr>
        <w:t>2021</w:t>
      </w:r>
      <w:r>
        <w:rPr>
          <w:rFonts w:ascii="Times New Roman" w:hAnsi="Times New Roman" w:eastAsia="黑体" w:cs="Times New Roman"/>
          <w:color w:val="000000"/>
          <w:sz w:val="34"/>
          <w:szCs w:val="34"/>
        </w:rPr>
        <w:t>年</w:t>
      </w:r>
      <w:r>
        <w:rPr>
          <w:rFonts w:hint="eastAsia" w:ascii="Times New Roman" w:hAnsi="Times New Roman" w:eastAsia="黑体" w:cs="Times New Roman"/>
          <w:color w:val="000000"/>
          <w:sz w:val="34"/>
          <w:szCs w:val="34"/>
          <w:lang w:val="en-US" w:eastAsia="zh-CN"/>
        </w:rPr>
        <w:t>5</w:t>
      </w:r>
      <w:r>
        <w:rPr>
          <w:rFonts w:ascii="Times New Roman" w:hAnsi="Times New Roman" w:eastAsia="黑体" w:cs="Times New Roman"/>
          <w:color w:val="000000"/>
          <w:sz w:val="34"/>
          <w:szCs w:val="34"/>
        </w:rPr>
        <w:t>月</w:t>
      </w:r>
    </w:p>
    <w:p>
      <w:pPr>
        <w:widowControl/>
        <w:spacing w:beforeLines="0" w:afterLines="0" w:line="579" w:lineRule="exact"/>
        <w:jc w:val="center"/>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br w:type="page"/>
      </w:r>
    </w:p>
    <w:p>
      <w:pPr>
        <w:pStyle w:val="3"/>
        <w:snapToGrid w:val="0"/>
        <w:spacing w:before="0" w:beforeLines="0" w:after="0" w:afterLines="0" w:line="579" w:lineRule="exact"/>
        <w:jc w:val="center"/>
        <w:rPr>
          <w:rFonts w:hint="default" w:ascii="Times New Roman" w:hAnsi="Times New Roman" w:eastAsia="方正小标宋简体" w:cs="Times New Roman"/>
          <w:b w:val="0"/>
          <w:bCs w:val="0"/>
          <w:color w:val="000000"/>
          <w:sz w:val="44"/>
          <w:szCs w:val="44"/>
        </w:rPr>
      </w:pPr>
      <w:bookmarkStart w:id="0" w:name="_Toc69378081"/>
      <w:bookmarkStart w:id="1" w:name="_Toc20422986"/>
      <w:bookmarkStart w:id="2" w:name="_Toc20422788"/>
      <w:r>
        <w:rPr>
          <w:rFonts w:hint="default" w:ascii="Times New Roman" w:hAnsi="Times New Roman" w:eastAsia="方正小标宋简体" w:cs="Times New Roman"/>
          <w:b w:val="0"/>
          <w:bCs w:val="0"/>
          <w:color w:val="000000"/>
          <w:sz w:val="44"/>
          <w:szCs w:val="44"/>
        </w:rPr>
        <w:t>前  言</w:t>
      </w:r>
      <w:bookmarkEnd w:id="0"/>
      <w:bookmarkEnd w:id="1"/>
      <w:bookmarkEnd w:id="2"/>
    </w:p>
    <w:p>
      <w:pPr>
        <w:pStyle w:val="3"/>
        <w:snapToGrid w:val="0"/>
        <w:spacing w:before="0" w:beforeLines="0" w:after="0" w:afterLines="0" w:line="579" w:lineRule="exact"/>
        <w:ind w:firstLine="880" w:firstLineChars="200"/>
        <w:jc w:val="center"/>
        <w:rPr>
          <w:rFonts w:hint="default" w:ascii="Times New Roman" w:hAnsi="Times New Roman" w:eastAsia="方正小标宋简体" w:cs="Times New Roman"/>
          <w:b w:val="0"/>
          <w:bCs w:val="0"/>
          <w:color w:val="000000"/>
          <w:sz w:val="44"/>
          <w:szCs w:val="44"/>
        </w:rPr>
      </w:pPr>
    </w:p>
    <w:p>
      <w:pPr>
        <w:snapToGrid w:val="0"/>
        <w:spacing w:beforeLines="0" w:afterLines="0" w:line="579"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习近平总书记在气候雄心峰会上提出，“到2030年，我国非化石能源占一次能源消费比重将达到25%左右，风电、太阳能发电总装机容量将达到12亿千瓦以上”，彰显了我国坚持绿色发展的决心和政治导向。发展可再生能源是推动能源生产和消费革命、加快能源转型升级、应对气候变化、实现绿色发展的重要途径和举措。</w:t>
      </w:r>
    </w:p>
    <w:p>
      <w:pPr>
        <w:snapToGrid w:val="0"/>
        <w:spacing w:beforeLines="0" w:afterLines="0" w:line="579"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浙江省委、省政府以“八八战略”为统领，坚持一张蓝图绘到底，全面推行生态文明建设，大力发展可再生能源，全省可再生能源得到快速发展。“十三五”期间，我省可再生能源装机增长127%，到2020年末，占电力总装机近三分之一。“十四五”是全面建设社会主义现代化国家新征程的起步之年，更是我省奋力打造“重要窗口”，争创社会主义现代化先行省的关键时期。为加快建立清洁低碳、安全高效的现代能源体系，尽早实现碳达峰碳中和目标，促进我省可再生能源高质量发展，按照《可再生能源法》要求，根据我国《可再生能源发展“十四五”规划》</w:t>
      </w:r>
      <w:r>
        <w:rPr>
          <w:rFonts w:hint="eastAsia" w:ascii="Times New Roman" w:hAnsi="Times New Roman" w:eastAsia="仿宋_GB2312" w:cs="Times New Roman"/>
          <w:color w:val="000000"/>
          <w:sz w:val="32"/>
          <w:szCs w:val="32"/>
          <w:lang w:eastAsia="zh-CN"/>
        </w:rPr>
        <w:t>《浙江省国民经济和社会发展第十四个五年规划和二</w:t>
      </w:r>
      <w:r>
        <w:rPr>
          <w:rFonts w:hint="default" w:ascii="Times New Roman" w:hAnsi="Times New Roman" w:eastAsia="仿宋_GB2312" w:cs="Times New Roman"/>
          <w:color w:val="000000"/>
          <w:sz w:val="32"/>
          <w:szCs w:val="32"/>
          <w:lang w:eastAsia="zh-CN"/>
        </w:rPr>
        <w:t>Ο三五年远景目标纲要》</w:t>
      </w:r>
      <w:r>
        <w:rPr>
          <w:rFonts w:ascii="Times New Roman" w:hAnsi="Times New Roman" w:eastAsia="仿宋_GB2312" w:cs="Times New Roman"/>
          <w:color w:val="000000"/>
          <w:sz w:val="32"/>
          <w:szCs w:val="32"/>
        </w:rPr>
        <w:t>和《浙江省能源发展“十四五”规划》，制定《浙江省可再生能源发展“十四五”规划》（以下简称《规划》）。</w:t>
      </w:r>
    </w:p>
    <w:p>
      <w:pPr>
        <w:snapToGrid w:val="0"/>
        <w:spacing w:beforeLines="0" w:afterLines="0" w:line="579"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规划》涵盖了水能、风能、太阳能、生物质能、海洋能和地热能等能源品种，明确了2021年至2025年我省可再生能源发展的指导思想、基本原则、发展目标、重点任务和保障措施，是“十四五”时期我省可再生能源发展的重要指南。</w:t>
      </w:r>
    </w:p>
    <w:p>
      <w:pPr>
        <w:pStyle w:val="8"/>
        <w:numPr>
          <w:ilvl w:val="0"/>
          <w:numId w:val="0"/>
        </w:numPr>
        <w:adjustRightInd w:val="0"/>
        <w:snapToGrid w:val="0"/>
        <w:spacing w:beforeLines="0" w:afterLines="0" w:line="579" w:lineRule="exact"/>
        <w:ind w:left="0" w:firstLine="640" w:firstLineChars="200"/>
        <w:jc w:val="both"/>
        <w:outlineLvl w:val="0"/>
        <w:rPr>
          <w:rFonts w:ascii="Times New Roman" w:hAnsi="Times New Roman" w:eastAsia="黑体" w:cs="Times New Roman"/>
          <w:color w:val="000000"/>
          <w:sz w:val="32"/>
          <w:szCs w:val="32"/>
        </w:rPr>
      </w:pPr>
      <w:bookmarkStart w:id="3" w:name="_Toc69378082"/>
      <w:r>
        <w:rPr>
          <w:rFonts w:hint="default" w:ascii="Times New Roman" w:hAnsi="Times New Roman" w:eastAsia="黑体" w:cs="Times New Roman"/>
          <w:color w:val="000000"/>
          <w:sz w:val="32"/>
          <w:szCs w:val="32"/>
          <w:lang w:eastAsia="zh-CN"/>
        </w:rPr>
        <w:t>一、</w:t>
      </w:r>
      <w:r>
        <w:rPr>
          <w:rFonts w:hint="default" w:ascii="Times New Roman" w:hAnsi="Times New Roman" w:eastAsia="黑体" w:cs="Times New Roman"/>
          <w:color w:val="000000"/>
          <w:sz w:val="32"/>
          <w:szCs w:val="32"/>
        </w:rPr>
        <w:t>发展基础</w:t>
      </w:r>
      <w:bookmarkEnd w:id="3"/>
    </w:p>
    <w:p>
      <w:pPr>
        <w:pStyle w:val="9"/>
        <w:numPr>
          <w:ilvl w:val="0"/>
          <w:numId w:val="0"/>
        </w:numPr>
        <w:adjustRightInd w:val="0"/>
        <w:snapToGrid w:val="0"/>
        <w:spacing w:beforeLines="0" w:afterLines="0" w:line="579" w:lineRule="exact"/>
        <w:ind w:left="0" w:firstLine="641" w:firstLineChars="200"/>
        <w:jc w:val="both"/>
        <w:outlineLvl w:val="0"/>
        <w:rPr>
          <w:rFonts w:hint="default" w:ascii="Times New Roman" w:hAnsi="Times New Roman" w:eastAsia="楷体_GB2312" w:cs="Times New Roman"/>
          <w:b/>
          <w:color w:val="000000"/>
          <w:sz w:val="32"/>
          <w:szCs w:val="32"/>
        </w:rPr>
      </w:pPr>
      <w:bookmarkStart w:id="4" w:name="_Toc61460243"/>
      <w:bookmarkEnd w:id="4"/>
      <w:bookmarkStart w:id="5" w:name="_Toc61460240"/>
      <w:bookmarkEnd w:id="5"/>
      <w:bookmarkStart w:id="6" w:name="_Toc61460245"/>
      <w:bookmarkEnd w:id="6"/>
      <w:bookmarkStart w:id="7" w:name="_Toc61460237"/>
      <w:bookmarkEnd w:id="7"/>
      <w:bookmarkStart w:id="8" w:name="_Toc61460244"/>
      <w:bookmarkEnd w:id="8"/>
      <w:bookmarkStart w:id="9" w:name="_Toc61460241"/>
      <w:bookmarkEnd w:id="9"/>
      <w:bookmarkStart w:id="10" w:name="_Toc61460239"/>
      <w:bookmarkEnd w:id="10"/>
      <w:bookmarkStart w:id="11" w:name="_Toc61460242"/>
      <w:bookmarkEnd w:id="11"/>
      <w:bookmarkStart w:id="12" w:name="_Toc61460246"/>
      <w:bookmarkEnd w:id="12"/>
      <w:bookmarkStart w:id="13" w:name="_Toc61460247"/>
      <w:bookmarkEnd w:id="13"/>
      <w:bookmarkStart w:id="14" w:name="_Toc61460238"/>
      <w:bookmarkEnd w:id="14"/>
      <w:bookmarkStart w:id="15" w:name="_Toc61460233"/>
      <w:bookmarkEnd w:id="15"/>
      <w:bookmarkStart w:id="16" w:name="_Toc61460235"/>
      <w:bookmarkEnd w:id="16"/>
      <w:bookmarkStart w:id="17" w:name="_Toc61460234"/>
      <w:bookmarkEnd w:id="17"/>
      <w:bookmarkStart w:id="18" w:name="_Toc61460236"/>
      <w:bookmarkEnd w:id="18"/>
      <w:bookmarkStart w:id="19" w:name="_Toc61460232"/>
      <w:bookmarkEnd w:id="19"/>
      <w:bookmarkStart w:id="20" w:name="_Toc69378083"/>
      <w:r>
        <w:rPr>
          <w:rFonts w:hint="default" w:ascii="Times New Roman" w:hAnsi="Times New Roman" w:eastAsia="楷体_GB2312" w:cs="Times New Roman"/>
          <w:b/>
          <w:color w:val="000000"/>
          <w:sz w:val="32"/>
          <w:szCs w:val="32"/>
          <w:lang w:eastAsia="zh-CN"/>
        </w:rPr>
        <w:t>（一）</w:t>
      </w:r>
      <w:r>
        <w:rPr>
          <w:rFonts w:hint="default" w:ascii="Times New Roman" w:hAnsi="Times New Roman" w:eastAsia="楷体_GB2312" w:cs="Times New Roman"/>
          <w:b/>
          <w:color w:val="000000"/>
          <w:sz w:val="32"/>
          <w:szCs w:val="32"/>
        </w:rPr>
        <w:t>发展现状</w:t>
      </w:r>
      <w:bookmarkEnd w:id="20"/>
    </w:p>
    <w:p>
      <w:pPr>
        <w:snapToGrid w:val="0"/>
        <w:spacing w:beforeLines="0" w:afterLines="0" w:line="579" w:lineRule="exact"/>
        <w:ind w:firstLine="640" w:firstLineChars="200"/>
        <w:jc w:val="both"/>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“十三五”以来，我省高度重视可再生能源发展，并取得显著成绩。截至2020年底，全省可再生能源装机容量达到311</w:t>
      </w:r>
      <w:r>
        <w:rPr>
          <w:rFonts w:hint="eastAsia" w:ascii="Times New Roman" w:hAnsi="Times New Roman" w:cs="Times New Roman"/>
          <w:color w:val="000000"/>
          <w:sz w:val="32"/>
          <w:szCs w:val="32"/>
          <w:lang w:val="en-US" w:eastAsia="zh-CN"/>
        </w:rPr>
        <w:t>4</w:t>
      </w:r>
      <w:r>
        <w:rPr>
          <w:rFonts w:ascii="Times New Roman" w:hAnsi="Times New Roman" w:eastAsia="仿宋_GB2312" w:cs="Times New Roman"/>
          <w:color w:val="000000"/>
          <w:sz w:val="32"/>
          <w:szCs w:val="32"/>
        </w:rPr>
        <w:t>万千瓦，其中光伏1517万千瓦（分布式1070万千瓦），常规水电713万千瓦，抽水蓄能458万千瓦，生物质发电240万千瓦（垃圾发电210万千瓦），风电186万千瓦（海上风电45万千瓦），可再生能源装机占比达到30.7%。</w:t>
      </w:r>
    </w:p>
    <w:p>
      <w:pPr>
        <w:pStyle w:val="8"/>
        <w:numPr>
          <w:ilvl w:val="0"/>
          <w:numId w:val="0"/>
        </w:numPr>
        <w:snapToGrid w:val="0"/>
        <w:spacing w:beforeLines="0" w:afterLines="0" w:line="579" w:lineRule="exact"/>
        <w:ind w:left="640" w:leftChars="200" w:firstLine="0" w:firstLineChars="0"/>
        <w:jc w:val="both"/>
        <w:outlineLvl w:val="1"/>
        <w:rPr>
          <w:rFonts w:ascii="Times New Roman" w:hAnsi="Times New Roman" w:eastAsia="仿宋_GB2312" w:cs="Times New Roman"/>
          <w:b/>
          <w:color w:val="000000"/>
          <w:sz w:val="32"/>
          <w:szCs w:val="32"/>
        </w:rPr>
      </w:pPr>
      <w:bookmarkStart w:id="21" w:name="_Toc56946923"/>
      <w:bookmarkStart w:id="22" w:name="_Toc61460249"/>
      <w:bookmarkStart w:id="23" w:name="_Toc56946987"/>
      <w:bookmarkStart w:id="24" w:name="_Toc56958958"/>
      <w:bookmarkStart w:id="25" w:name="_Toc56771862"/>
      <w:bookmarkStart w:id="26" w:name="_Toc56945753"/>
      <w:bookmarkStart w:id="27" w:name="_Toc56943147"/>
      <w:bookmarkStart w:id="28" w:name="_Toc69378084"/>
      <w:bookmarkStart w:id="29" w:name="_Toc61615682"/>
      <w:bookmarkStart w:id="30" w:name="_Toc61789923"/>
      <w:r>
        <w:rPr>
          <w:rFonts w:hint="eastAsia" w:ascii="Times New Roman" w:hAnsi="Times New Roman" w:eastAsia="仿宋_GB2312" w:cs="Times New Roman"/>
          <w:b/>
          <w:color w:val="000000"/>
          <w:sz w:val="32"/>
          <w:szCs w:val="32"/>
          <w:lang w:val="en-US" w:eastAsia="zh-CN"/>
        </w:rPr>
        <w:t>1．</w:t>
      </w:r>
      <w:r>
        <w:rPr>
          <w:rFonts w:ascii="Times New Roman" w:hAnsi="Times New Roman" w:eastAsia="仿宋_GB2312" w:cs="Times New Roman"/>
          <w:b/>
          <w:color w:val="000000"/>
          <w:sz w:val="32"/>
          <w:szCs w:val="32"/>
        </w:rPr>
        <w:t>光伏实现</w:t>
      </w:r>
      <w:bookmarkEnd w:id="21"/>
      <w:bookmarkEnd w:id="22"/>
      <w:bookmarkEnd w:id="23"/>
      <w:bookmarkEnd w:id="24"/>
      <w:bookmarkEnd w:id="25"/>
      <w:bookmarkEnd w:id="26"/>
      <w:bookmarkEnd w:id="27"/>
      <w:r>
        <w:rPr>
          <w:rFonts w:ascii="Times New Roman" w:hAnsi="Times New Roman" w:eastAsia="仿宋_GB2312" w:cs="Times New Roman"/>
          <w:b/>
          <w:color w:val="000000"/>
          <w:sz w:val="32"/>
          <w:szCs w:val="32"/>
        </w:rPr>
        <w:t>跨越式发展</w:t>
      </w:r>
      <w:bookmarkEnd w:id="28"/>
      <w:bookmarkEnd w:id="29"/>
      <w:bookmarkEnd w:id="30"/>
    </w:p>
    <w:p>
      <w:pPr>
        <w:snapToGrid w:val="0"/>
        <w:spacing w:beforeLines="0" w:afterLines="0" w:line="579" w:lineRule="exact"/>
        <w:ind w:firstLine="640" w:firstLineChars="200"/>
        <w:jc w:val="both"/>
        <w:rPr>
          <w:rFonts w:ascii="Times New Roman" w:hAnsi="Times New Roman" w:eastAsia="仿宋_GB2312" w:cs="Times New Roman"/>
          <w:color w:val="000000"/>
          <w:sz w:val="32"/>
          <w:szCs w:val="32"/>
        </w:rPr>
      </w:pPr>
      <w:bookmarkStart w:id="31" w:name="_Toc480980556"/>
      <w:bookmarkStart w:id="32" w:name="_Toc480981586"/>
      <w:r>
        <w:rPr>
          <w:rFonts w:ascii="Times New Roman" w:hAnsi="Times New Roman" w:eastAsia="仿宋_GB2312" w:cs="Times New Roman"/>
          <w:color w:val="000000"/>
          <w:sz w:val="32"/>
          <w:szCs w:val="32"/>
        </w:rPr>
        <w:t>“十三五”期间，在国家、省级及地方各级补贴的带动下，我省光伏项目开发热情高涨，规模增长迅速，技术进步迅猛，产业链不断完善，孕育出多家行业龙头光伏企业，逐步迈入高质量发展阶段。截至2020年底，全省累计建成光伏发电装机1517万千瓦，比2015年增长827%，其中分布式光伏装机1070万千瓦，装机规模连续多年位居全国第一。我省光伏项目不仅装机规模增长快，而且开发应用形式多，基本涵盖了农光互补、渔光互补、工商业屋顶光伏、户用屋顶光伏、水面漂浮式光伏等各种类型</w:t>
      </w:r>
      <w:bookmarkEnd w:id="31"/>
      <w:bookmarkEnd w:id="32"/>
      <w:r>
        <w:rPr>
          <w:rFonts w:ascii="Times New Roman" w:hAnsi="Times New Roman" w:eastAsia="仿宋_GB2312" w:cs="Times New Roman"/>
          <w:color w:val="000000"/>
          <w:sz w:val="32"/>
          <w:szCs w:val="32"/>
        </w:rPr>
        <w:t>。</w:t>
      </w:r>
    </w:p>
    <w:p>
      <w:pPr>
        <w:pStyle w:val="8"/>
        <w:numPr>
          <w:ilvl w:val="0"/>
          <w:numId w:val="0"/>
        </w:numPr>
        <w:snapToGrid w:val="0"/>
        <w:spacing w:beforeLines="0" w:afterLines="0" w:line="579" w:lineRule="exact"/>
        <w:ind w:left="0" w:firstLine="643" w:firstLineChars="200"/>
        <w:jc w:val="both"/>
        <w:outlineLvl w:val="1"/>
        <w:rPr>
          <w:rFonts w:ascii="Times New Roman" w:hAnsi="Times New Roman" w:eastAsia="仿宋_GB2312" w:cs="Times New Roman"/>
          <w:b/>
          <w:color w:val="000000"/>
          <w:sz w:val="32"/>
          <w:szCs w:val="32"/>
        </w:rPr>
      </w:pPr>
      <w:bookmarkStart w:id="33" w:name="_Toc61789924"/>
      <w:bookmarkStart w:id="34" w:name="_Toc61615683"/>
      <w:bookmarkStart w:id="35" w:name="_Toc69378085"/>
      <w:r>
        <w:rPr>
          <w:rFonts w:hint="eastAsia" w:ascii="Times New Roman" w:hAnsi="Times New Roman" w:eastAsia="仿宋_GB2312" w:cs="Times New Roman"/>
          <w:b/>
          <w:color w:val="000000"/>
          <w:sz w:val="32"/>
          <w:szCs w:val="32"/>
          <w:lang w:val="en-US" w:eastAsia="zh-CN"/>
        </w:rPr>
        <w:t>2．</w:t>
      </w:r>
      <w:r>
        <w:rPr>
          <w:rFonts w:ascii="Times New Roman" w:hAnsi="Times New Roman" w:eastAsia="仿宋_GB2312" w:cs="Times New Roman"/>
          <w:b/>
          <w:color w:val="000000"/>
          <w:sz w:val="32"/>
          <w:szCs w:val="32"/>
        </w:rPr>
        <w:t>抽水蓄能电站领跑全国</w:t>
      </w:r>
      <w:bookmarkEnd w:id="33"/>
      <w:bookmarkEnd w:id="34"/>
      <w:bookmarkEnd w:id="35"/>
    </w:p>
    <w:p>
      <w:pPr>
        <w:snapToGrid w:val="0"/>
        <w:spacing w:beforeLines="0" w:afterLines="0" w:line="579" w:lineRule="exact"/>
        <w:ind w:firstLine="640" w:firstLineChars="200"/>
        <w:jc w:val="both"/>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我省具有兴建抽水蓄能电站的有利地形，</w:t>
      </w:r>
      <w:r>
        <w:rPr>
          <w:rFonts w:ascii="Times New Roman" w:hAnsi="Times New Roman" w:eastAsia="仿宋" w:cs="Times New Roman"/>
          <w:bCs/>
          <w:color w:val="000000"/>
          <w:kern w:val="44"/>
          <w:sz w:val="32"/>
          <w:szCs w:val="32"/>
        </w:rPr>
        <w:t>且项目建设条件优良</w:t>
      </w:r>
      <w:r>
        <w:rPr>
          <w:rFonts w:ascii="Times New Roman" w:hAnsi="Times New Roman" w:eastAsia="仿宋_GB2312" w:cs="Times New Roman"/>
          <w:color w:val="000000"/>
          <w:sz w:val="32"/>
          <w:szCs w:val="32"/>
        </w:rPr>
        <w:t>，规划总装机容量达到1878万千瓦。“十三五”期间，仙居抽水蓄能电站建成投产，加上天荒坪、桐柏和溪口</w:t>
      </w:r>
      <w:r>
        <w:rPr>
          <w:rFonts w:hint="eastAsia" w:ascii="Times New Roman" w:hAnsi="Times New Roman" w:cs="Times New Roman"/>
          <w:color w:val="000000"/>
          <w:sz w:val="32"/>
          <w:szCs w:val="32"/>
          <w:lang w:eastAsia="zh-CN"/>
        </w:rPr>
        <w:t>电站</w:t>
      </w:r>
      <w:r>
        <w:rPr>
          <w:rFonts w:ascii="Times New Roman" w:hAnsi="Times New Roman" w:eastAsia="仿宋_GB2312" w:cs="Times New Roman"/>
          <w:color w:val="000000"/>
          <w:sz w:val="32"/>
          <w:szCs w:val="32"/>
        </w:rPr>
        <w:t>，在运总装机规模458万千瓦；新核准开工长龙山、宁海、缙云、衢江、磐安等抽水蓄能电站，在建总装机规模达到770万千瓦；泰顺、天台、建德、桐庐等抽水蓄能电站纳入推荐站址规划。我省已建和在建抽水蓄能电站总装机规模领跑全国。</w:t>
      </w:r>
    </w:p>
    <w:p>
      <w:pPr>
        <w:pStyle w:val="8"/>
        <w:numPr>
          <w:ilvl w:val="0"/>
          <w:numId w:val="0"/>
        </w:numPr>
        <w:snapToGrid w:val="0"/>
        <w:spacing w:beforeLines="0" w:afterLines="0" w:line="579" w:lineRule="exact"/>
        <w:ind w:left="0" w:firstLine="643" w:firstLineChars="200"/>
        <w:outlineLvl w:val="1"/>
        <w:rPr>
          <w:rFonts w:ascii="Times New Roman" w:hAnsi="Times New Roman" w:eastAsia="仿宋_GB2312" w:cs="Times New Roman"/>
          <w:b/>
          <w:color w:val="000000"/>
          <w:sz w:val="32"/>
          <w:szCs w:val="32"/>
        </w:rPr>
      </w:pPr>
      <w:bookmarkStart w:id="36" w:name="_Toc56943148"/>
      <w:bookmarkStart w:id="37" w:name="_Toc56945754"/>
      <w:bookmarkStart w:id="38" w:name="_Toc56771863"/>
      <w:bookmarkStart w:id="39" w:name="_Toc56946924"/>
      <w:bookmarkStart w:id="40" w:name="_Toc56946988"/>
      <w:bookmarkStart w:id="41" w:name="_Toc61460250"/>
      <w:bookmarkStart w:id="42" w:name="_Toc56958959"/>
      <w:bookmarkStart w:id="43" w:name="_Toc69378086"/>
      <w:bookmarkStart w:id="44" w:name="_Toc61615684"/>
      <w:bookmarkStart w:id="45" w:name="_Toc61789925"/>
      <w:r>
        <w:rPr>
          <w:rFonts w:hint="eastAsia" w:ascii="Times New Roman" w:hAnsi="Times New Roman" w:eastAsia="仿宋_GB2312" w:cs="Times New Roman"/>
          <w:b/>
          <w:color w:val="000000"/>
          <w:sz w:val="32"/>
          <w:szCs w:val="32"/>
          <w:lang w:val="en-US" w:eastAsia="zh-CN"/>
        </w:rPr>
        <w:t>3．</w:t>
      </w:r>
      <w:r>
        <w:rPr>
          <w:rFonts w:ascii="Times New Roman" w:hAnsi="Times New Roman" w:eastAsia="仿宋_GB2312" w:cs="Times New Roman"/>
          <w:b/>
          <w:color w:val="000000"/>
          <w:sz w:val="32"/>
          <w:szCs w:val="32"/>
        </w:rPr>
        <w:t>海上风电</w:t>
      </w:r>
      <w:bookmarkEnd w:id="36"/>
      <w:bookmarkEnd w:id="37"/>
      <w:bookmarkEnd w:id="38"/>
      <w:bookmarkEnd w:id="39"/>
      <w:bookmarkEnd w:id="40"/>
      <w:bookmarkEnd w:id="41"/>
      <w:bookmarkEnd w:id="42"/>
      <w:r>
        <w:rPr>
          <w:rFonts w:ascii="Times New Roman" w:hAnsi="Times New Roman" w:eastAsia="仿宋_GB2312" w:cs="Times New Roman"/>
          <w:b/>
          <w:color w:val="000000"/>
          <w:sz w:val="32"/>
          <w:szCs w:val="32"/>
        </w:rPr>
        <w:t>取得零的突破</w:t>
      </w:r>
      <w:bookmarkEnd w:id="43"/>
      <w:bookmarkEnd w:id="44"/>
      <w:bookmarkEnd w:id="45"/>
    </w:p>
    <w:p>
      <w:pPr>
        <w:snapToGrid w:val="0"/>
        <w:spacing w:beforeLines="0" w:afterLines="0" w:line="579"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我省首个海上风电场——国电普陀6#克服了强台风、大涌浪、厚淤泥等不利条件，于2019年4月全部建成并网，实现零的突破。在此带动下，一批海上风电项目相继核准、开工，我省海上风电进入规模化发展阶段。截至2020年底，全省累计核准海上风电项目14个，核准装机容量408万千瓦，其中并网装机容量45万千瓦。此外，我省启动了海上风电场工程规划修编工作，为后续海上风电发展储备一定项目。</w:t>
      </w:r>
    </w:p>
    <w:p>
      <w:pPr>
        <w:pStyle w:val="8"/>
        <w:numPr>
          <w:ilvl w:val="0"/>
          <w:numId w:val="0"/>
        </w:numPr>
        <w:snapToGrid w:val="0"/>
        <w:spacing w:beforeLines="0" w:afterLines="0" w:line="579" w:lineRule="exact"/>
        <w:ind w:left="0" w:firstLine="643" w:firstLineChars="200"/>
        <w:outlineLvl w:val="1"/>
        <w:rPr>
          <w:rFonts w:ascii="Times New Roman" w:hAnsi="Times New Roman" w:eastAsia="仿宋_GB2312" w:cs="Times New Roman"/>
          <w:b/>
          <w:color w:val="000000"/>
          <w:sz w:val="32"/>
          <w:szCs w:val="32"/>
        </w:rPr>
      </w:pPr>
      <w:bookmarkStart w:id="46" w:name="_Toc69378087"/>
      <w:r>
        <w:rPr>
          <w:rFonts w:hint="eastAsia" w:ascii="Times New Roman" w:hAnsi="Times New Roman" w:eastAsia="仿宋_GB2312" w:cs="Times New Roman"/>
          <w:b/>
          <w:color w:val="000000"/>
          <w:sz w:val="32"/>
          <w:szCs w:val="32"/>
          <w:lang w:val="en-US" w:eastAsia="zh-CN"/>
        </w:rPr>
        <w:t>4．</w:t>
      </w:r>
      <w:r>
        <w:rPr>
          <w:rFonts w:ascii="Times New Roman" w:hAnsi="Times New Roman" w:eastAsia="仿宋_GB2312" w:cs="Times New Roman"/>
          <w:b/>
          <w:color w:val="000000"/>
          <w:sz w:val="32"/>
          <w:szCs w:val="32"/>
        </w:rPr>
        <w:t>可再生能源产业取得长足发展</w:t>
      </w:r>
      <w:bookmarkEnd w:id="46"/>
    </w:p>
    <w:p>
      <w:pPr>
        <w:snapToGrid w:val="0"/>
        <w:spacing w:beforeLines="0" w:afterLines="0" w:line="579"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十三五”期间，在巨大应用市场的带动下，我省风电、光伏产业取得长足发展，拥有国内完整且具竞争力的产业链体系。风电方面在整机、齿轮箱、变流器、铸件、电缆等行业均有一批龙头骨干企业。光伏方面，我省光伏组件产能仅次于江苏，年产量在4000万千瓦左右，是全国第二大光伏组件制造省份；我省拥有光伏辅材企业120余家，位居全国第一；2020年全省光伏全产业链产值突破1200亿元。我省潮流能装备研发取得重大突破，技术总体接近国际先进水平。一批装机规模在60-650千瓦不等的潮流能机组在舟山海域完成实海况测试，舟山LHD潮流能示范项目完成多轮装备技术更新并实现长期并网运行，装机容量达到1700千瓦，浙江大学等高校和科研机构潮流能试验场在舟山建设并投入测试运行。</w:t>
      </w:r>
    </w:p>
    <w:p>
      <w:pPr>
        <w:snapToGrid w:val="0"/>
        <w:spacing w:beforeLines="0" w:afterLines="0" w:line="579" w:lineRule="exact"/>
        <w:jc w:val="center"/>
        <w:rPr>
          <w:rFonts w:ascii="Times New Roman" w:hAnsi="Times New Roman" w:eastAsia="仿宋_GB2312" w:cs="Times New Roman"/>
          <w:b/>
          <w:bCs/>
          <w:color w:val="000000"/>
          <w:sz w:val="28"/>
          <w:szCs w:val="28"/>
        </w:rPr>
      </w:pPr>
      <w:r>
        <w:rPr>
          <w:rFonts w:hint="default" w:ascii="Times New Roman" w:hAnsi="Times New Roman" w:eastAsia="黑体" w:cs="Times New Roman"/>
          <w:b w:val="0"/>
          <w:bCs w:val="0"/>
          <w:color w:val="000000"/>
          <w:sz w:val="28"/>
          <w:szCs w:val="28"/>
        </w:rPr>
        <w:t>表1</w:t>
      </w:r>
      <w:r>
        <w:rPr>
          <w:rFonts w:hint="default" w:ascii="Times New Roman" w:hAnsi="Times New Roman" w:eastAsia="黑体" w:cs="Times New Roman"/>
          <w:b w:val="0"/>
          <w:bCs w:val="0"/>
          <w:color w:val="000000"/>
          <w:sz w:val="28"/>
          <w:szCs w:val="28"/>
          <w:lang w:val="en-US" w:eastAsia="zh-CN"/>
        </w:rPr>
        <w:t xml:space="preserve">  </w:t>
      </w:r>
      <w:r>
        <w:rPr>
          <w:rFonts w:hint="default" w:ascii="Times New Roman" w:hAnsi="Times New Roman" w:eastAsia="黑体" w:cs="Times New Roman"/>
          <w:b w:val="0"/>
          <w:bCs w:val="0"/>
          <w:color w:val="000000"/>
          <w:sz w:val="28"/>
          <w:szCs w:val="28"/>
        </w:rPr>
        <w:t>浙江省“十三五”主要可再生能源品种装机统计情况</w:t>
      </w:r>
    </w:p>
    <w:p>
      <w:pPr>
        <w:adjustRightInd w:val="0"/>
        <w:snapToGrid w:val="0"/>
        <w:spacing w:beforeLines="0" w:afterLines="0" w:line="579" w:lineRule="exact"/>
        <w:ind w:firstLine="560" w:firstLineChars="200"/>
        <w:jc w:val="left"/>
        <w:textAlignment w:val="center"/>
        <w:rPr>
          <w:rFonts w:ascii="Times New Roman" w:hAnsi="Times New Roman" w:eastAsia="仿宋_GB2312" w:cs="Times New Roman"/>
          <w:sz w:val="28"/>
          <w:szCs w:val="28"/>
        </w:rPr>
      </w:pPr>
      <w:r>
        <w:rPr>
          <w:rFonts w:ascii="Times New Roman" w:hAnsi="Times New Roman" w:eastAsia="楷体_GB2312" w:cs="Times New Roman"/>
          <w:color w:val="000000"/>
          <w:sz w:val="28"/>
          <w:szCs w:val="28"/>
        </w:rPr>
        <w:t xml:space="preserve">                                     </w:t>
      </w:r>
      <w:r>
        <w:rPr>
          <w:rFonts w:hint="eastAsia" w:ascii="Times New Roman" w:hAnsi="Times New Roman" w:eastAsia="楷体_GB2312" w:cs="Times New Roman"/>
          <w:color w:val="000000"/>
          <w:sz w:val="28"/>
          <w:szCs w:val="28"/>
          <w:lang w:val="en-US" w:eastAsia="zh-CN"/>
        </w:rPr>
        <w:t xml:space="preserve">      </w:t>
      </w:r>
      <w:r>
        <w:rPr>
          <w:rFonts w:ascii="Times New Roman" w:hAnsi="Times New Roman" w:eastAsia="楷体_GB2312" w:cs="Times New Roman"/>
          <w:color w:val="000000"/>
          <w:sz w:val="28"/>
          <w:szCs w:val="28"/>
        </w:rPr>
        <w:t xml:space="preserve">      单位：万千瓦</w:t>
      </w:r>
    </w:p>
    <w:tbl>
      <w:tblPr>
        <w:tblStyle w:val="5"/>
        <w:tblW w:w="9394" w:type="dxa"/>
        <w:jc w:val="center"/>
        <w:tblInd w:w="0" w:type="dxa"/>
        <w:tblLayout w:type="fixed"/>
        <w:tblCellMar>
          <w:top w:w="0" w:type="dxa"/>
          <w:left w:w="108" w:type="dxa"/>
          <w:bottom w:w="0" w:type="dxa"/>
          <w:right w:w="108" w:type="dxa"/>
        </w:tblCellMar>
      </w:tblPr>
      <w:tblGrid>
        <w:gridCol w:w="3256"/>
        <w:gridCol w:w="1559"/>
        <w:gridCol w:w="1559"/>
        <w:gridCol w:w="3020"/>
      </w:tblGrid>
      <w:tr>
        <w:tblPrEx>
          <w:tblLayout w:type="fixed"/>
        </w:tblPrEx>
        <w:trPr>
          <w:trHeight w:val="0" w:hRule="atLeast"/>
          <w:jc w:val="center"/>
        </w:trPr>
        <w:tc>
          <w:tcPr>
            <w:tcW w:w="3256" w:type="dxa"/>
            <w:tcBorders>
              <w:top w:val="single" w:color="auto" w:sz="4" w:space="0"/>
              <w:left w:val="single" w:color="auto" w:sz="4" w:space="0"/>
              <w:bottom w:val="nil"/>
              <w:right w:val="single" w:color="auto" w:sz="4" w:space="0"/>
            </w:tcBorders>
            <w:shd w:val="clear" w:color="auto" w:fill="auto"/>
            <w:vAlign w:val="center"/>
          </w:tcPr>
          <w:p>
            <w:pPr>
              <w:widowControl/>
              <w:adjustRightInd w:val="0"/>
              <w:snapToGrid w:val="0"/>
              <w:spacing w:line="460" w:lineRule="exact"/>
              <w:ind w:right="0"/>
              <w:jc w:val="center"/>
              <w:rPr>
                <w:rFonts w:hint="default" w:ascii="Times New Roman" w:hAnsi="Times New Roman" w:eastAsia="黑体" w:cs="Times New Roman"/>
                <w:b w:val="0"/>
                <w:bCs/>
                <w:kern w:val="0"/>
                <w:sz w:val="24"/>
                <w:szCs w:val="24"/>
              </w:rPr>
            </w:pPr>
            <w:r>
              <w:rPr>
                <w:rFonts w:hint="default" w:ascii="Times New Roman" w:hAnsi="Times New Roman" w:eastAsia="黑体" w:cs="Times New Roman"/>
                <w:b w:val="0"/>
                <w:bCs/>
                <w:kern w:val="0"/>
                <w:sz w:val="24"/>
                <w:szCs w:val="24"/>
              </w:rPr>
              <w:t>可再生能源种类</w:t>
            </w:r>
          </w:p>
        </w:tc>
        <w:tc>
          <w:tcPr>
            <w:tcW w:w="1559"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spacing w:line="460" w:lineRule="exact"/>
              <w:ind w:right="0"/>
              <w:jc w:val="center"/>
              <w:rPr>
                <w:rFonts w:hint="default" w:ascii="Times New Roman" w:hAnsi="Times New Roman" w:eastAsia="黑体" w:cs="Times New Roman"/>
                <w:b w:val="0"/>
                <w:bCs/>
                <w:kern w:val="0"/>
                <w:sz w:val="24"/>
                <w:szCs w:val="24"/>
              </w:rPr>
            </w:pPr>
            <w:r>
              <w:rPr>
                <w:rFonts w:hint="default" w:ascii="Times New Roman" w:hAnsi="Times New Roman" w:eastAsia="黑体" w:cs="Times New Roman"/>
                <w:b w:val="0"/>
                <w:bCs/>
                <w:kern w:val="0"/>
                <w:sz w:val="24"/>
                <w:szCs w:val="24"/>
              </w:rPr>
              <w:t>2015年</w:t>
            </w:r>
          </w:p>
        </w:tc>
        <w:tc>
          <w:tcPr>
            <w:tcW w:w="1559"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spacing w:line="460" w:lineRule="exact"/>
              <w:ind w:right="0"/>
              <w:jc w:val="center"/>
              <w:rPr>
                <w:rFonts w:hint="default" w:ascii="Times New Roman" w:hAnsi="Times New Roman" w:eastAsia="黑体" w:cs="Times New Roman"/>
                <w:b w:val="0"/>
                <w:bCs/>
                <w:kern w:val="0"/>
                <w:sz w:val="24"/>
                <w:szCs w:val="24"/>
              </w:rPr>
            </w:pPr>
            <w:r>
              <w:rPr>
                <w:rFonts w:hint="default" w:ascii="Times New Roman" w:hAnsi="Times New Roman" w:eastAsia="黑体" w:cs="Times New Roman"/>
                <w:b w:val="0"/>
                <w:bCs/>
                <w:kern w:val="0"/>
                <w:sz w:val="24"/>
                <w:szCs w:val="24"/>
              </w:rPr>
              <w:t>2020年</w:t>
            </w:r>
          </w:p>
        </w:tc>
        <w:tc>
          <w:tcPr>
            <w:tcW w:w="3020" w:type="dxa"/>
            <w:tcBorders>
              <w:top w:val="single" w:color="auto" w:sz="4" w:space="0"/>
              <w:left w:val="nil"/>
              <w:bottom w:val="single" w:color="auto" w:sz="4" w:space="0"/>
              <w:right w:val="single" w:color="auto" w:sz="4" w:space="0"/>
            </w:tcBorders>
            <w:shd w:val="clear" w:color="000000" w:fill="FFFFFF"/>
            <w:vAlign w:val="center"/>
          </w:tcPr>
          <w:p>
            <w:pPr>
              <w:widowControl/>
              <w:adjustRightInd w:val="0"/>
              <w:snapToGrid w:val="0"/>
              <w:spacing w:line="460" w:lineRule="exact"/>
              <w:ind w:right="0"/>
              <w:jc w:val="center"/>
              <w:rPr>
                <w:rFonts w:hint="default" w:ascii="Times New Roman" w:hAnsi="Times New Roman" w:eastAsia="黑体" w:cs="Times New Roman"/>
                <w:b w:val="0"/>
                <w:bCs/>
                <w:kern w:val="0"/>
                <w:sz w:val="24"/>
                <w:szCs w:val="24"/>
              </w:rPr>
            </w:pPr>
            <w:r>
              <w:rPr>
                <w:rFonts w:hint="default" w:ascii="Times New Roman" w:hAnsi="Times New Roman" w:eastAsia="黑体" w:cs="Times New Roman"/>
                <w:b w:val="0"/>
                <w:bCs/>
                <w:kern w:val="0"/>
                <w:sz w:val="24"/>
                <w:szCs w:val="24"/>
              </w:rPr>
              <w:t>“十三五”年均增速</w:t>
            </w:r>
          </w:p>
        </w:tc>
      </w:tr>
      <w:tr>
        <w:tblPrEx>
          <w:tblLayout w:type="fixed"/>
        </w:tblPrEx>
        <w:trPr>
          <w:trHeight w:val="0" w:hRule="atLeast"/>
          <w:jc w:val="center"/>
        </w:trPr>
        <w:tc>
          <w:tcPr>
            <w:tcW w:w="325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60" w:lineRule="exact"/>
              <w:ind w:right="0"/>
              <w:jc w:val="center"/>
              <w:rPr>
                <w:rFonts w:hint="default" w:ascii="Times New Roman" w:hAnsi="Times New Roman" w:eastAsia="仿宋_GB2312" w:cs="Times New Roman"/>
                <w:b/>
                <w:kern w:val="0"/>
                <w:sz w:val="24"/>
                <w:szCs w:val="24"/>
              </w:rPr>
            </w:pPr>
            <w:r>
              <w:rPr>
                <w:rFonts w:hint="default" w:ascii="Times New Roman" w:hAnsi="Times New Roman" w:eastAsia="仿宋_GB2312" w:cs="Times New Roman"/>
                <w:b/>
                <w:kern w:val="0"/>
                <w:sz w:val="24"/>
                <w:szCs w:val="24"/>
              </w:rPr>
              <w:t>1</w:t>
            </w:r>
            <w:r>
              <w:rPr>
                <w:rFonts w:hint="default" w:ascii="Times New Roman" w:hAnsi="Times New Roman" w:cs="Times New Roman"/>
                <w:b/>
                <w:kern w:val="0"/>
                <w:sz w:val="24"/>
                <w:szCs w:val="24"/>
                <w:lang w:val="en-US" w:eastAsia="zh-CN"/>
              </w:rPr>
              <w:t>.</w:t>
            </w:r>
            <w:r>
              <w:rPr>
                <w:rFonts w:hint="default" w:ascii="Times New Roman" w:hAnsi="Times New Roman" w:eastAsia="仿宋_GB2312" w:cs="Times New Roman"/>
                <w:b/>
                <w:kern w:val="0"/>
                <w:sz w:val="24"/>
                <w:szCs w:val="24"/>
              </w:rPr>
              <w:t>光伏</w:t>
            </w:r>
          </w:p>
        </w:tc>
        <w:tc>
          <w:tcPr>
            <w:tcW w:w="15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460" w:lineRule="exact"/>
              <w:ind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164</w:t>
            </w:r>
          </w:p>
        </w:tc>
        <w:tc>
          <w:tcPr>
            <w:tcW w:w="15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460" w:lineRule="exact"/>
              <w:ind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1517</w:t>
            </w:r>
          </w:p>
        </w:tc>
        <w:tc>
          <w:tcPr>
            <w:tcW w:w="3020"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460" w:lineRule="exact"/>
              <w:ind w:right="0"/>
              <w:jc w:val="center"/>
              <w:rPr>
                <w:rFonts w:hint="default" w:ascii="Times New Roman" w:hAnsi="Times New Roman" w:eastAsia="仿宋_GB2312" w:cs="Times New Roman"/>
                <w:kern w:val="0"/>
                <w:sz w:val="24"/>
                <w:szCs w:val="24"/>
              </w:rPr>
            </w:pPr>
            <w:r>
              <w:rPr>
                <w:rFonts w:hint="default" w:ascii="Times New Roman" w:hAnsi="Times New Roman" w:cs="Times New Roman"/>
                <w:kern w:val="0"/>
                <w:sz w:val="24"/>
                <w:szCs w:val="24"/>
                <w:lang w:val="en-US" w:eastAsia="zh-CN"/>
              </w:rPr>
              <w:t>56</w:t>
            </w:r>
            <w:r>
              <w:rPr>
                <w:rFonts w:hint="default" w:ascii="Times New Roman" w:hAnsi="Times New Roman" w:eastAsia="仿宋_GB2312" w:cs="Times New Roman"/>
                <w:kern w:val="0"/>
                <w:sz w:val="24"/>
                <w:szCs w:val="24"/>
              </w:rPr>
              <w:t>%</w:t>
            </w:r>
          </w:p>
        </w:tc>
      </w:tr>
      <w:tr>
        <w:tblPrEx>
          <w:tblLayout w:type="fixed"/>
        </w:tblPrEx>
        <w:trPr>
          <w:trHeight w:val="0" w:hRule="atLeast"/>
          <w:jc w:val="center"/>
        </w:trPr>
        <w:tc>
          <w:tcPr>
            <w:tcW w:w="3256" w:type="dxa"/>
            <w:tcBorders>
              <w:top w:val="nil"/>
              <w:left w:val="single" w:color="auto" w:sz="4" w:space="0"/>
              <w:bottom w:val="single" w:color="auto" w:sz="4" w:space="0"/>
              <w:right w:val="single" w:color="auto" w:sz="4" w:space="0"/>
            </w:tcBorders>
            <w:shd w:val="clear" w:color="auto" w:fill="auto"/>
            <w:vAlign w:val="center"/>
          </w:tcPr>
          <w:p>
            <w:pPr>
              <w:widowControl/>
              <w:adjustRightInd w:val="0"/>
              <w:snapToGrid w:val="0"/>
              <w:spacing w:line="460" w:lineRule="exact"/>
              <w:ind w:right="0"/>
              <w:jc w:val="center"/>
              <w:rPr>
                <w:rFonts w:hint="default" w:ascii="Times New Roman" w:hAnsi="Times New Roman" w:eastAsia="仿宋_GB2312" w:cs="Times New Roman"/>
                <w:b/>
                <w:kern w:val="0"/>
                <w:sz w:val="24"/>
                <w:szCs w:val="24"/>
              </w:rPr>
            </w:pPr>
            <w:r>
              <w:rPr>
                <w:rFonts w:hint="default" w:ascii="Times New Roman" w:hAnsi="Times New Roman" w:eastAsia="仿宋_GB2312" w:cs="Times New Roman"/>
                <w:b/>
                <w:kern w:val="0"/>
                <w:sz w:val="24"/>
                <w:szCs w:val="24"/>
              </w:rPr>
              <w:t>2</w:t>
            </w:r>
            <w:r>
              <w:rPr>
                <w:rFonts w:hint="default" w:ascii="Times New Roman" w:hAnsi="Times New Roman" w:cs="Times New Roman"/>
                <w:b/>
                <w:kern w:val="0"/>
                <w:sz w:val="24"/>
                <w:szCs w:val="24"/>
                <w:lang w:val="en-US" w:eastAsia="zh-CN"/>
              </w:rPr>
              <w:t>.</w:t>
            </w:r>
            <w:r>
              <w:rPr>
                <w:rFonts w:hint="default" w:ascii="Times New Roman" w:hAnsi="Times New Roman" w:eastAsia="仿宋_GB2312" w:cs="Times New Roman"/>
                <w:b/>
                <w:kern w:val="0"/>
                <w:sz w:val="24"/>
                <w:szCs w:val="24"/>
              </w:rPr>
              <w:t>风电</w:t>
            </w:r>
          </w:p>
        </w:tc>
        <w:tc>
          <w:tcPr>
            <w:tcW w:w="15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460" w:lineRule="exact"/>
              <w:ind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104</w:t>
            </w:r>
          </w:p>
        </w:tc>
        <w:tc>
          <w:tcPr>
            <w:tcW w:w="15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460" w:lineRule="exact"/>
              <w:ind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186</w:t>
            </w:r>
          </w:p>
        </w:tc>
        <w:tc>
          <w:tcPr>
            <w:tcW w:w="3020"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460" w:lineRule="exact"/>
              <w:ind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12%</w:t>
            </w:r>
          </w:p>
        </w:tc>
      </w:tr>
      <w:tr>
        <w:tblPrEx>
          <w:tblLayout w:type="fixed"/>
        </w:tblPrEx>
        <w:trPr>
          <w:trHeight w:val="0" w:hRule="atLeast"/>
          <w:jc w:val="center"/>
        </w:trPr>
        <w:tc>
          <w:tcPr>
            <w:tcW w:w="3256" w:type="dxa"/>
            <w:tcBorders>
              <w:top w:val="nil"/>
              <w:left w:val="single" w:color="auto" w:sz="4" w:space="0"/>
              <w:bottom w:val="single" w:color="auto" w:sz="4" w:space="0"/>
              <w:right w:val="single" w:color="auto" w:sz="4" w:space="0"/>
            </w:tcBorders>
            <w:shd w:val="clear" w:color="auto" w:fill="auto"/>
            <w:vAlign w:val="center"/>
          </w:tcPr>
          <w:p>
            <w:pPr>
              <w:widowControl/>
              <w:adjustRightInd w:val="0"/>
              <w:snapToGrid w:val="0"/>
              <w:spacing w:line="460" w:lineRule="exact"/>
              <w:ind w:right="0"/>
              <w:jc w:val="center"/>
              <w:rPr>
                <w:rFonts w:hint="default" w:ascii="Times New Roman" w:hAnsi="Times New Roman" w:eastAsia="仿宋_GB2312" w:cs="Times New Roman"/>
                <w:b/>
                <w:kern w:val="0"/>
                <w:sz w:val="24"/>
                <w:szCs w:val="24"/>
              </w:rPr>
            </w:pPr>
            <w:r>
              <w:rPr>
                <w:rFonts w:hint="default" w:ascii="Times New Roman" w:hAnsi="Times New Roman" w:eastAsia="仿宋_GB2312" w:cs="Times New Roman"/>
                <w:b/>
                <w:kern w:val="0"/>
                <w:sz w:val="24"/>
                <w:szCs w:val="24"/>
              </w:rPr>
              <w:t>3</w:t>
            </w:r>
            <w:r>
              <w:rPr>
                <w:rFonts w:hint="default" w:ascii="Times New Roman" w:hAnsi="Times New Roman" w:cs="Times New Roman"/>
                <w:b/>
                <w:kern w:val="0"/>
                <w:sz w:val="24"/>
                <w:szCs w:val="24"/>
                <w:lang w:val="en-US" w:eastAsia="zh-CN"/>
              </w:rPr>
              <w:t>.</w:t>
            </w:r>
            <w:r>
              <w:rPr>
                <w:rFonts w:hint="default" w:ascii="Times New Roman" w:hAnsi="Times New Roman" w:eastAsia="仿宋_GB2312" w:cs="Times New Roman"/>
                <w:b/>
                <w:kern w:val="0"/>
                <w:sz w:val="24"/>
                <w:szCs w:val="24"/>
              </w:rPr>
              <w:t>生物质</w:t>
            </w:r>
          </w:p>
        </w:tc>
        <w:tc>
          <w:tcPr>
            <w:tcW w:w="15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460" w:lineRule="exact"/>
              <w:ind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103</w:t>
            </w:r>
          </w:p>
        </w:tc>
        <w:tc>
          <w:tcPr>
            <w:tcW w:w="15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460" w:lineRule="exact"/>
              <w:ind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240</w:t>
            </w:r>
          </w:p>
        </w:tc>
        <w:tc>
          <w:tcPr>
            <w:tcW w:w="3020"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460" w:lineRule="exact"/>
              <w:ind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w:t>
            </w:r>
            <w:r>
              <w:rPr>
                <w:rFonts w:hint="default" w:ascii="Times New Roman" w:hAnsi="Times New Roman" w:cs="Times New Roman"/>
                <w:kern w:val="0"/>
                <w:sz w:val="24"/>
                <w:szCs w:val="24"/>
                <w:lang w:val="en-US" w:eastAsia="zh-CN"/>
              </w:rPr>
              <w:t>8</w:t>
            </w:r>
            <w:r>
              <w:rPr>
                <w:rFonts w:hint="default" w:ascii="Times New Roman" w:hAnsi="Times New Roman" w:eastAsia="仿宋_GB2312" w:cs="Times New Roman"/>
                <w:kern w:val="0"/>
                <w:sz w:val="24"/>
                <w:szCs w:val="24"/>
              </w:rPr>
              <w:t>%</w:t>
            </w:r>
          </w:p>
        </w:tc>
      </w:tr>
      <w:tr>
        <w:tblPrEx>
          <w:tblLayout w:type="fixed"/>
        </w:tblPrEx>
        <w:trPr>
          <w:trHeight w:val="0" w:hRule="atLeast"/>
          <w:jc w:val="center"/>
        </w:trPr>
        <w:tc>
          <w:tcPr>
            <w:tcW w:w="3256" w:type="dxa"/>
            <w:tcBorders>
              <w:top w:val="nil"/>
              <w:left w:val="single" w:color="auto" w:sz="4" w:space="0"/>
              <w:bottom w:val="single" w:color="auto" w:sz="4" w:space="0"/>
              <w:right w:val="single" w:color="auto" w:sz="4" w:space="0"/>
            </w:tcBorders>
            <w:shd w:val="clear" w:color="auto" w:fill="auto"/>
            <w:vAlign w:val="center"/>
          </w:tcPr>
          <w:p>
            <w:pPr>
              <w:widowControl/>
              <w:adjustRightInd w:val="0"/>
              <w:snapToGrid w:val="0"/>
              <w:spacing w:line="460" w:lineRule="exact"/>
              <w:ind w:right="0"/>
              <w:jc w:val="center"/>
              <w:rPr>
                <w:rFonts w:hint="default" w:ascii="Times New Roman" w:hAnsi="Times New Roman" w:eastAsia="仿宋_GB2312" w:cs="Times New Roman"/>
                <w:b/>
                <w:kern w:val="0"/>
                <w:sz w:val="24"/>
                <w:szCs w:val="24"/>
              </w:rPr>
            </w:pPr>
            <w:r>
              <w:rPr>
                <w:rFonts w:hint="default" w:ascii="Times New Roman" w:hAnsi="Times New Roman" w:eastAsia="仿宋_GB2312" w:cs="Times New Roman"/>
                <w:b/>
                <w:kern w:val="0"/>
                <w:sz w:val="24"/>
                <w:szCs w:val="24"/>
              </w:rPr>
              <w:t>4</w:t>
            </w:r>
            <w:r>
              <w:rPr>
                <w:rFonts w:hint="default" w:ascii="Times New Roman" w:hAnsi="Times New Roman" w:cs="Times New Roman"/>
                <w:b/>
                <w:kern w:val="0"/>
                <w:sz w:val="24"/>
                <w:szCs w:val="24"/>
                <w:lang w:val="en-US" w:eastAsia="zh-CN"/>
              </w:rPr>
              <w:t>.</w:t>
            </w:r>
            <w:r>
              <w:rPr>
                <w:rFonts w:hint="default" w:ascii="Times New Roman" w:hAnsi="Times New Roman" w:eastAsia="仿宋_GB2312" w:cs="Times New Roman"/>
                <w:b/>
                <w:kern w:val="0"/>
                <w:sz w:val="24"/>
                <w:szCs w:val="24"/>
              </w:rPr>
              <w:t>常规水电</w:t>
            </w:r>
          </w:p>
        </w:tc>
        <w:tc>
          <w:tcPr>
            <w:tcW w:w="15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460" w:lineRule="exact"/>
              <w:ind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694</w:t>
            </w:r>
          </w:p>
        </w:tc>
        <w:tc>
          <w:tcPr>
            <w:tcW w:w="15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460" w:lineRule="exact"/>
              <w:ind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713</w:t>
            </w:r>
          </w:p>
        </w:tc>
        <w:tc>
          <w:tcPr>
            <w:tcW w:w="3020"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460" w:lineRule="exact"/>
              <w:ind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w:t>
            </w:r>
          </w:p>
        </w:tc>
      </w:tr>
      <w:tr>
        <w:tblPrEx>
          <w:tblLayout w:type="fixed"/>
        </w:tblPrEx>
        <w:trPr>
          <w:trHeight w:val="0" w:hRule="atLeast"/>
          <w:jc w:val="center"/>
        </w:trPr>
        <w:tc>
          <w:tcPr>
            <w:tcW w:w="3256" w:type="dxa"/>
            <w:tcBorders>
              <w:top w:val="nil"/>
              <w:left w:val="single" w:color="auto" w:sz="4" w:space="0"/>
              <w:bottom w:val="single" w:color="auto" w:sz="4" w:space="0"/>
              <w:right w:val="single" w:color="auto" w:sz="4" w:space="0"/>
            </w:tcBorders>
            <w:shd w:val="clear" w:color="auto" w:fill="auto"/>
            <w:vAlign w:val="center"/>
          </w:tcPr>
          <w:p>
            <w:pPr>
              <w:widowControl/>
              <w:adjustRightInd w:val="0"/>
              <w:snapToGrid w:val="0"/>
              <w:spacing w:line="460" w:lineRule="exact"/>
              <w:ind w:right="0"/>
              <w:jc w:val="center"/>
              <w:rPr>
                <w:rFonts w:hint="default" w:ascii="Times New Roman" w:hAnsi="Times New Roman" w:eastAsia="仿宋_GB2312" w:cs="Times New Roman"/>
                <w:b/>
                <w:kern w:val="0"/>
                <w:sz w:val="24"/>
                <w:szCs w:val="24"/>
              </w:rPr>
            </w:pPr>
            <w:r>
              <w:rPr>
                <w:rFonts w:hint="default" w:ascii="Times New Roman" w:hAnsi="Times New Roman" w:eastAsia="仿宋_GB2312" w:cs="Times New Roman"/>
                <w:b/>
                <w:kern w:val="0"/>
                <w:sz w:val="24"/>
                <w:szCs w:val="24"/>
              </w:rPr>
              <w:t>5</w:t>
            </w:r>
            <w:r>
              <w:rPr>
                <w:rFonts w:hint="default" w:ascii="Times New Roman" w:hAnsi="Times New Roman" w:cs="Times New Roman"/>
                <w:b/>
                <w:kern w:val="0"/>
                <w:sz w:val="24"/>
                <w:szCs w:val="24"/>
                <w:lang w:val="en-US" w:eastAsia="zh-CN"/>
              </w:rPr>
              <w:t>.</w:t>
            </w:r>
            <w:r>
              <w:rPr>
                <w:rFonts w:hint="default" w:ascii="Times New Roman" w:hAnsi="Times New Roman" w:eastAsia="仿宋_GB2312" w:cs="Times New Roman"/>
                <w:b/>
                <w:kern w:val="0"/>
                <w:sz w:val="24"/>
                <w:szCs w:val="24"/>
              </w:rPr>
              <w:t>抽水蓄能</w:t>
            </w:r>
          </w:p>
        </w:tc>
        <w:tc>
          <w:tcPr>
            <w:tcW w:w="15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460" w:lineRule="exact"/>
              <w:ind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308</w:t>
            </w:r>
          </w:p>
        </w:tc>
        <w:tc>
          <w:tcPr>
            <w:tcW w:w="15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460" w:lineRule="exact"/>
              <w:ind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458</w:t>
            </w:r>
          </w:p>
        </w:tc>
        <w:tc>
          <w:tcPr>
            <w:tcW w:w="3020"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460" w:lineRule="exact"/>
              <w:ind w:right="0"/>
              <w:jc w:val="center"/>
              <w:rPr>
                <w:rFonts w:hint="default" w:ascii="Times New Roman" w:hAnsi="Times New Roman" w:eastAsia="仿宋_GB2312" w:cs="Times New Roman"/>
                <w:kern w:val="0"/>
                <w:sz w:val="24"/>
                <w:szCs w:val="24"/>
              </w:rPr>
            </w:pPr>
            <w:r>
              <w:rPr>
                <w:rFonts w:hint="default" w:ascii="Times New Roman" w:hAnsi="Times New Roman" w:cs="Times New Roman"/>
                <w:kern w:val="0"/>
                <w:sz w:val="24"/>
                <w:szCs w:val="24"/>
                <w:lang w:val="en-US" w:eastAsia="zh-CN"/>
              </w:rPr>
              <w:t>8</w:t>
            </w:r>
            <w:r>
              <w:rPr>
                <w:rFonts w:hint="default" w:ascii="Times New Roman" w:hAnsi="Times New Roman" w:eastAsia="仿宋_GB2312" w:cs="Times New Roman"/>
                <w:kern w:val="0"/>
                <w:sz w:val="24"/>
                <w:szCs w:val="24"/>
              </w:rPr>
              <w:t>%</w:t>
            </w:r>
          </w:p>
        </w:tc>
      </w:tr>
      <w:tr>
        <w:tblPrEx>
          <w:tblLayout w:type="fixed"/>
        </w:tblPrEx>
        <w:trPr>
          <w:trHeight w:val="0" w:hRule="atLeast"/>
          <w:jc w:val="center"/>
        </w:trPr>
        <w:tc>
          <w:tcPr>
            <w:tcW w:w="3256" w:type="dxa"/>
            <w:tcBorders>
              <w:top w:val="nil"/>
              <w:left w:val="single" w:color="auto" w:sz="4" w:space="0"/>
              <w:bottom w:val="single" w:color="auto" w:sz="4" w:space="0"/>
              <w:right w:val="single" w:color="auto" w:sz="4" w:space="0"/>
            </w:tcBorders>
            <w:shd w:val="clear" w:color="auto" w:fill="auto"/>
            <w:vAlign w:val="center"/>
          </w:tcPr>
          <w:p>
            <w:pPr>
              <w:widowControl/>
              <w:adjustRightInd w:val="0"/>
              <w:snapToGrid w:val="0"/>
              <w:spacing w:line="460" w:lineRule="exact"/>
              <w:ind w:right="0"/>
              <w:jc w:val="center"/>
              <w:rPr>
                <w:rFonts w:hint="default" w:ascii="Times New Roman" w:hAnsi="Times New Roman" w:eastAsia="仿宋_GB2312" w:cs="Times New Roman"/>
                <w:b/>
                <w:kern w:val="0"/>
                <w:sz w:val="24"/>
                <w:szCs w:val="24"/>
              </w:rPr>
            </w:pPr>
            <w:r>
              <w:rPr>
                <w:rFonts w:hint="default" w:ascii="Times New Roman" w:hAnsi="Times New Roman" w:eastAsia="仿宋_GB2312" w:cs="Times New Roman"/>
                <w:b/>
                <w:kern w:val="0"/>
                <w:sz w:val="24"/>
                <w:szCs w:val="24"/>
              </w:rPr>
              <w:t>一、可再生能源</w:t>
            </w:r>
          </w:p>
        </w:tc>
        <w:tc>
          <w:tcPr>
            <w:tcW w:w="15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460" w:lineRule="exact"/>
              <w:ind w:right="0"/>
              <w:jc w:val="center"/>
              <w:rPr>
                <w:rFonts w:hint="default" w:ascii="Times New Roman" w:hAnsi="Times New Roman" w:eastAsia="仿宋_GB2312" w:cs="Times New Roman"/>
                <w:b/>
                <w:kern w:val="0"/>
                <w:sz w:val="24"/>
                <w:szCs w:val="24"/>
              </w:rPr>
            </w:pPr>
            <w:r>
              <w:rPr>
                <w:rFonts w:hint="default" w:ascii="Times New Roman" w:hAnsi="Times New Roman" w:eastAsia="仿宋_GB2312" w:cs="Times New Roman"/>
                <w:b/>
                <w:kern w:val="0"/>
                <w:sz w:val="24"/>
                <w:szCs w:val="24"/>
              </w:rPr>
              <w:t>1373</w:t>
            </w:r>
          </w:p>
        </w:tc>
        <w:tc>
          <w:tcPr>
            <w:tcW w:w="15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460" w:lineRule="exact"/>
              <w:ind w:right="0"/>
              <w:jc w:val="center"/>
              <w:rPr>
                <w:rFonts w:hint="default" w:ascii="Times New Roman" w:hAnsi="Times New Roman" w:eastAsia="仿宋_GB2312" w:cs="Times New Roman"/>
                <w:b/>
                <w:kern w:val="0"/>
                <w:sz w:val="24"/>
                <w:szCs w:val="24"/>
                <w:lang w:eastAsia="zh-CN"/>
              </w:rPr>
            </w:pPr>
            <w:r>
              <w:rPr>
                <w:rFonts w:hint="default" w:ascii="Times New Roman" w:hAnsi="Times New Roman" w:eastAsia="仿宋_GB2312" w:cs="Times New Roman"/>
                <w:b/>
                <w:kern w:val="0"/>
                <w:sz w:val="24"/>
                <w:szCs w:val="24"/>
              </w:rPr>
              <w:t>311</w:t>
            </w:r>
            <w:r>
              <w:rPr>
                <w:rFonts w:hint="default" w:ascii="Times New Roman" w:hAnsi="Times New Roman" w:cs="Times New Roman"/>
                <w:b/>
                <w:kern w:val="0"/>
                <w:sz w:val="24"/>
                <w:szCs w:val="24"/>
                <w:lang w:val="en-US" w:eastAsia="zh-CN"/>
              </w:rPr>
              <w:t>4</w:t>
            </w:r>
          </w:p>
        </w:tc>
        <w:tc>
          <w:tcPr>
            <w:tcW w:w="3020"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460" w:lineRule="exact"/>
              <w:ind w:right="0"/>
              <w:jc w:val="center"/>
              <w:rPr>
                <w:rFonts w:hint="default" w:ascii="Times New Roman" w:hAnsi="Times New Roman" w:eastAsia="仿宋_GB2312" w:cs="Times New Roman"/>
                <w:b/>
                <w:kern w:val="0"/>
                <w:sz w:val="24"/>
                <w:szCs w:val="24"/>
              </w:rPr>
            </w:pPr>
            <w:r>
              <w:rPr>
                <w:rFonts w:hint="default" w:ascii="Times New Roman" w:hAnsi="Times New Roman" w:eastAsia="仿宋_GB2312" w:cs="Times New Roman"/>
                <w:b/>
                <w:kern w:val="0"/>
                <w:sz w:val="24"/>
                <w:szCs w:val="24"/>
              </w:rPr>
              <w:t>18%</w:t>
            </w:r>
          </w:p>
        </w:tc>
      </w:tr>
      <w:tr>
        <w:tblPrEx>
          <w:tblLayout w:type="fixed"/>
        </w:tblPrEx>
        <w:trPr>
          <w:trHeight w:val="0" w:hRule="atLeast"/>
          <w:jc w:val="center"/>
        </w:trPr>
        <w:tc>
          <w:tcPr>
            <w:tcW w:w="3256" w:type="dxa"/>
            <w:tcBorders>
              <w:top w:val="nil"/>
              <w:left w:val="single" w:color="auto" w:sz="4" w:space="0"/>
              <w:bottom w:val="single" w:color="auto" w:sz="4" w:space="0"/>
              <w:right w:val="single" w:color="auto" w:sz="4" w:space="0"/>
            </w:tcBorders>
            <w:shd w:val="clear" w:color="auto" w:fill="auto"/>
            <w:vAlign w:val="center"/>
          </w:tcPr>
          <w:p>
            <w:pPr>
              <w:widowControl/>
              <w:adjustRightInd w:val="0"/>
              <w:snapToGrid w:val="0"/>
              <w:spacing w:line="460" w:lineRule="exact"/>
              <w:ind w:right="0"/>
              <w:jc w:val="center"/>
              <w:rPr>
                <w:rFonts w:hint="default" w:ascii="Times New Roman" w:hAnsi="Times New Roman" w:eastAsia="仿宋_GB2312" w:cs="Times New Roman"/>
                <w:b/>
                <w:kern w:val="0"/>
                <w:sz w:val="24"/>
                <w:szCs w:val="24"/>
              </w:rPr>
            </w:pPr>
            <w:r>
              <w:rPr>
                <w:rFonts w:hint="default" w:ascii="Times New Roman" w:hAnsi="Times New Roman" w:eastAsia="仿宋_GB2312" w:cs="Times New Roman"/>
                <w:b/>
                <w:kern w:val="0"/>
                <w:sz w:val="24"/>
                <w:szCs w:val="24"/>
              </w:rPr>
              <w:t>二、非水可再生能源</w:t>
            </w:r>
          </w:p>
        </w:tc>
        <w:tc>
          <w:tcPr>
            <w:tcW w:w="15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460" w:lineRule="exact"/>
              <w:ind w:right="0"/>
              <w:jc w:val="center"/>
              <w:rPr>
                <w:rFonts w:hint="default" w:ascii="Times New Roman" w:hAnsi="Times New Roman" w:eastAsia="仿宋_GB2312" w:cs="Times New Roman"/>
                <w:b/>
                <w:kern w:val="0"/>
                <w:sz w:val="24"/>
                <w:szCs w:val="24"/>
                <w:lang w:eastAsia="zh-CN"/>
              </w:rPr>
            </w:pPr>
            <w:r>
              <w:rPr>
                <w:rFonts w:hint="default" w:ascii="Times New Roman" w:hAnsi="Times New Roman" w:eastAsia="仿宋_GB2312" w:cs="Times New Roman"/>
                <w:b/>
                <w:kern w:val="0"/>
                <w:sz w:val="24"/>
                <w:szCs w:val="24"/>
              </w:rPr>
              <w:t>37</w:t>
            </w:r>
            <w:r>
              <w:rPr>
                <w:rFonts w:hint="default" w:ascii="Times New Roman" w:hAnsi="Times New Roman" w:cs="Times New Roman"/>
                <w:b/>
                <w:kern w:val="0"/>
                <w:sz w:val="24"/>
                <w:szCs w:val="24"/>
                <w:lang w:val="en-US" w:eastAsia="zh-CN"/>
              </w:rPr>
              <w:t>1</w:t>
            </w:r>
          </w:p>
        </w:tc>
        <w:tc>
          <w:tcPr>
            <w:tcW w:w="15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460" w:lineRule="exact"/>
              <w:ind w:right="0"/>
              <w:jc w:val="center"/>
              <w:rPr>
                <w:rFonts w:hint="default" w:ascii="Times New Roman" w:hAnsi="Times New Roman" w:eastAsia="仿宋_GB2312" w:cs="Times New Roman"/>
                <w:b/>
                <w:kern w:val="0"/>
                <w:sz w:val="24"/>
                <w:szCs w:val="24"/>
              </w:rPr>
            </w:pPr>
            <w:r>
              <w:rPr>
                <w:rFonts w:hint="default" w:ascii="Times New Roman" w:hAnsi="Times New Roman" w:eastAsia="仿宋_GB2312" w:cs="Times New Roman"/>
                <w:b/>
                <w:kern w:val="0"/>
                <w:sz w:val="24"/>
                <w:szCs w:val="24"/>
              </w:rPr>
              <w:t>1943</w:t>
            </w:r>
          </w:p>
        </w:tc>
        <w:tc>
          <w:tcPr>
            <w:tcW w:w="3020"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460" w:lineRule="exact"/>
              <w:ind w:right="0"/>
              <w:jc w:val="center"/>
              <w:rPr>
                <w:rFonts w:hint="default" w:ascii="Times New Roman" w:hAnsi="Times New Roman" w:eastAsia="仿宋_GB2312" w:cs="Times New Roman"/>
                <w:b/>
                <w:kern w:val="0"/>
                <w:sz w:val="24"/>
                <w:szCs w:val="24"/>
              </w:rPr>
            </w:pPr>
            <w:r>
              <w:rPr>
                <w:rFonts w:hint="default" w:ascii="Times New Roman" w:hAnsi="Times New Roman" w:cs="Times New Roman"/>
                <w:b/>
                <w:kern w:val="0"/>
                <w:sz w:val="24"/>
                <w:szCs w:val="24"/>
                <w:lang w:val="en-US" w:eastAsia="zh-CN"/>
              </w:rPr>
              <w:t>39</w:t>
            </w:r>
            <w:r>
              <w:rPr>
                <w:rFonts w:hint="default" w:ascii="Times New Roman" w:hAnsi="Times New Roman" w:eastAsia="仿宋_GB2312" w:cs="Times New Roman"/>
                <w:b/>
                <w:kern w:val="0"/>
                <w:sz w:val="24"/>
                <w:szCs w:val="24"/>
              </w:rPr>
              <w:t>%</w:t>
            </w:r>
          </w:p>
        </w:tc>
      </w:tr>
      <w:tr>
        <w:tblPrEx>
          <w:tblLayout w:type="fixed"/>
        </w:tblPrEx>
        <w:trPr>
          <w:trHeight w:val="0" w:hRule="atLeast"/>
          <w:jc w:val="center"/>
        </w:trPr>
        <w:tc>
          <w:tcPr>
            <w:tcW w:w="3256" w:type="dxa"/>
            <w:tcBorders>
              <w:top w:val="nil"/>
              <w:left w:val="single" w:color="auto" w:sz="4" w:space="0"/>
              <w:bottom w:val="single" w:color="auto" w:sz="4" w:space="0"/>
              <w:right w:val="single" w:color="auto" w:sz="4" w:space="0"/>
            </w:tcBorders>
            <w:shd w:val="clear" w:color="auto" w:fill="auto"/>
            <w:vAlign w:val="center"/>
          </w:tcPr>
          <w:p>
            <w:pPr>
              <w:widowControl/>
              <w:adjustRightInd w:val="0"/>
              <w:snapToGrid w:val="0"/>
              <w:spacing w:line="460" w:lineRule="exact"/>
              <w:ind w:right="0"/>
              <w:jc w:val="center"/>
              <w:rPr>
                <w:rFonts w:hint="default" w:ascii="Times New Roman" w:hAnsi="Times New Roman" w:eastAsia="仿宋_GB2312" w:cs="Times New Roman"/>
                <w:b/>
                <w:kern w:val="0"/>
                <w:sz w:val="24"/>
                <w:szCs w:val="24"/>
              </w:rPr>
            </w:pPr>
            <w:r>
              <w:rPr>
                <w:rFonts w:hint="default" w:ascii="Times New Roman" w:hAnsi="Times New Roman" w:eastAsia="仿宋_GB2312" w:cs="Times New Roman"/>
                <w:b/>
                <w:kern w:val="0"/>
                <w:sz w:val="24"/>
                <w:szCs w:val="24"/>
              </w:rPr>
              <w:t>三、全省电力总装机</w:t>
            </w:r>
          </w:p>
        </w:tc>
        <w:tc>
          <w:tcPr>
            <w:tcW w:w="15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460" w:lineRule="exact"/>
              <w:ind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8158</w:t>
            </w:r>
          </w:p>
        </w:tc>
        <w:tc>
          <w:tcPr>
            <w:tcW w:w="15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460" w:lineRule="exact"/>
              <w:ind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10142</w:t>
            </w:r>
          </w:p>
        </w:tc>
        <w:tc>
          <w:tcPr>
            <w:tcW w:w="3020"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460" w:lineRule="exact"/>
              <w:ind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4%</w:t>
            </w:r>
          </w:p>
        </w:tc>
      </w:tr>
      <w:tr>
        <w:tblPrEx>
          <w:tblLayout w:type="fixed"/>
        </w:tblPrEx>
        <w:trPr>
          <w:trHeight w:val="0" w:hRule="atLeast"/>
          <w:jc w:val="center"/>
        </w:trPr>
        <w:tc>
          <w:tcPr>
            <w:tcW w:w="3256" w:type="dxa"/>
            <w:tcBorders>
              <w:top w:val="nil"/>
              <w:left w:val="single" w:color="auto" w:sz="4" w:space="0"/>
              <w:bottom w:val="single" w:color="auto" w:sz="4" w:space="0"/>
              <w:right w:val="single" w:color="auto" w:sz="4" w:space="0"/>
            </w:tcBorders>
            <w:shd w:val="clear" w:color="auto" w:fill="auto"/>
            <w:vAlign w:val="center"/>
          </w:tcPr>
          <w:p>
            <w:pPr>
              <w:widowControl/>
              <w:adjustRightInd w:val="0"/>
              <w:snapToGrid w:val="0"/>
              <w:spacing w:line="460" w:lineRule="exact"/>
              <w:ind w:right="0"/>
              <w:jc w:val="center"/>
              <w:rPr>
                <w:rFonts w:hint="default" w:ascii="Times New Roman" w:hAnsi="Times New Roman" w:eastAsia="仿宋_GB2312" w:cs="Times New Roman"/>
                <w:b/>
                <w:kern w:val="0"/>
                <w:sz w:val="24"/>
                <w:szCs w:val="24"/>
              </w:rPr>
            </w:pPr>
            <w:r>
              <w:rPr>
                <w:rFonts w:hint="default" w:ascii="Times New Roman" w:hAnsi="Times New Roman" w:eastAsia="仿宋_GB2312" w:cs="Times New Roman"/>
                <w:b/>
                <w:kern w:val="0"/>
                <w:sz w:val="24"/>
                <w:szCs w:val="24"/>
              </w:rPr>
              <w:t>可再生能源占比</w:t>
            </w:r>
          </w:p>
        </w:tc>
        <w:tc>
          <w:tcPr>
            <w:tcW w:w="15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460" w:lineRule="exact"/>
              <w:ind w:right="0"/>
              <w:jc w:val="center"/>
              <w:rPr>
                <w:rFonts w:hint="default" w:ascii="Times New Roman" w:hAnsi="Times New Roman" w:eastAsia="仿宋_GB2312" w:cs="Times New Roman"/>
                <w:b/>
                <w:kern w:val="0"/>
                <w:sz w:val="24"/>
                <w:szCs w:val="24"/>
              </w:rPr>
            </w:pPr>
            <w:r>
              <w:rPr>
                <w:rFonts w:hint="default" w:ascii="Times New Roman" w:hAnsi="Times New Roman" w:eastAsia="仿宋_GB2312" w:cs="Times New Roman"/>
                <w:b/>
                <w:kern w:val="0"/>
                <w:sz w:val="24"/>
                <w:szCs w:val="24"/>
              </w:rPr>
              <w:t>16.8%</w:t>
            </w:r>
          </w:p>
        </w:tc>
        <w:tc>
          <w:tcPr>
            <w:tcW w:w="15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460" w:lineRule="exact"/>
              <w:ind w:right="0"/>
              <w:jc w:val="center"/>
              <w:rPr>
                <w:rFonts w:hint="default" w:ascii="Times New Roman" w:hAnsi="Times New Roman" w:eastAsia="仿宋_GB2312" w:cs="Times New Roman"/>
                <w:b/>
                <w:kern w:val="0"/>
                <w:sz w:val="24"/>
                <w:szCs w:val="24"/>
              </w:rPr>
            </w:pPr>
            <w:r>
              <w:rPr>
                <w:rFonts w:hint="default" w:ascii="Times New Roman" w:hAnsi="Times New Roman" w:eastAsia="仿宋_GB2312" w:cs="Times New Roman"/>
                <w:b/>
                <w:kern w:val="0"/>
                <w:sz w:val="24"/>
                <w:szCs w:val="24"/>
              </w:rPr>
              <w:t>30.7%</w:t>
            </w:r>
          </w:p>
        </w:tc>
        <w:tc>
          <w:tcPr>
            <w:tcW w:w="3020"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460" w:lineRule="exact"/>
              <w:ind w:right="0"/>
              <w:jc w:val="center"/>
              <w:rPr>
                <w:rFonts w:hint="default" w:ascii="Times New Roman" w:hAnsi="Times New Roman" w:eastAsia="仿宋_GB2312" w:cs="Times New Roman"/>
                <w:b/>
                <w:kern w:val="0"/>
                <w:sz w:val="24"/>
                <w:szCs w:val="24"/>
              </w:rPr>
            </w:pPr>
            <w:r>
              <w:rPr>
                <w:rFonts w:hint="default" w:ascii="Times New Roman" w:hAnsi="Times New Roman" w:eastAsia="仿宋_GB2312" w:cs="Times New Roman"/>
                <w:b/>
                <w:kern w:val="0"/>
                <w:sz w:val="24"/>
                <w:szCs w:val="24"/>
              </w:rPr>
              <w:t>13%</w:t>
            </w:r>
          </w:p>
        </w:tc>
      </w:tr>
      <w:tr>
        <w:tblPrEx>
          <w:tblLayout w:type="fixed"/>
        </w:tblPrEx>
        <w:trPr>
          <w:trHeight w:val="0" w:hRule="atLeast"/>
          <w:jc w:val="center"/>
        </w:trPr>
        <w:tc>
          <w:tcPr>
            <w:tcW w:w="3256" w:type="dxa"/>
            <w:tcBorders>
              <w:top w:val="nil"/>
              <w:left w:val="single" w:color="auto" w:sz="4" w:space="0"/>
              <w:bottom w:val="single" w:color="auto" w:sz="4" w:space="0"/>
              <w:right w:val="single" w:color="auto" w:sz="4" w:space="0"/>
            </w:tcBorders>
            <w:shd w:val="clear" w:color="auto" w:fill="auto"/>
            <w:vAlign w:val="center"/>
          </w:tcPr>
          <w:p>
            <w:pPr>
              <w:widowControl/>
              <w:adjustRightInd w:val="0"/>
              <w:snapToGrid w:val="0"/>
              <w:spacing w:line="460" w:lineRule="exact"/>
              <w:ind w:right="0"/>
              <w:jc w:val="center"/>
              <w:rPr>
                <w:rFonts w:hint="default" w:ascii="Times New Roman" w:hAnsi="Times New Roman" w:eastAsia="仿宋_GB2312" w:cs="Times New Roman"/>
                <w:b/>
                <w:kern w:val="0"/>
                <w:sz w:val="24"/>
                <w:szCs w:val="24"/>
              </w:rPr>
            </w:pPr>
            <w:r>
              <w:rPr>
                <w:rFonts w:hint="default" w:ascii="Times New Roman" w:hAnsi="Times New Roman" w:eastAsia="仿宋_GB2312" w:cs="Times New Roman"/>
                <w:b/>
                <w:kern w:val="0"/>
                <w:sz w:val="24"/>
                <w:szCs w:val="24"/>
              </w:rPr>
              <w:t>非水可再生能源占比</w:t>
            </w:r>
          </w:p>
        </w:tc>
        <w:tc>
          <w:tcPr>
            <w:tcW w:w="15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460" w:lineRule="exact"/>
              <w:ind w:right="0"/>
              <w:jc w:val="center"/>
              <w:rPr>
                <w:rFonts w:hint="default" w:ascii="Times New Roman" w:hAnsi="Times New Roman" w:eastAsia="仿宋_GB2312" w:cs="Times New Roman"/>
                <w:b/>
                <w:kern w:val="0"/>
                <w:sz w:val="24"/>
                <w:szCs w:val="24"/>
              </w:rPr>
            </w:pPr>
            <w:r>
              <w:rPr>
                <w:rFonts w:hint="default" w:ascii="Times New Roman" w:hAnsi="Times New Roman" w:eastAsia="仿宋_GB2312" w:cs="Times New Roman"/>
                <w:b/>
                <w:kern w:val="0"/>
                <w:sz w:val="24"/>
                <w:szCs w:val="24"/>
              </w:rPr>
              <w:t>4.5%</w:t>
            </w:r>
          </w:p>
        </w:tc>
        <w:tc>
          <w:tcPr>
            <w:tcW w:w="15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460" w:lineRule="exact"/>
              <w:ind w:right="0"/>
              <w:jc w:val="center"/>
              <w:rPr>
                <w:rFonts w:hint="default" w:ascii="Times New Roman" w:hAnsi="Times New Roman" w:eastAsia="仿宋_GB2312" w:cs="Times New Roman"/>
                <w:b/>
                <w:kern w:val="0"/>
                <w:sz w:val="24"/>
                <w:szCs w:val="24"/>
              </w:rPr>
            </w:pPr>
            <w:r>
              <w:rPr>
                <w:rFonts w:hint="default" w:ascii="Times New Roman" w:hAnsi="Times New Roman" w:eastAsia="仿宋_GB2312" w:cs="Times New Roman"/>
                <w:b/>
                <w:kern w:val="0"/>
                <w:sz w:val="24"/>
                <w:szCs w:val="24"/>
              </w:rPr>
              <w:t>19.2%</w:t>
            </w:r>
          </w:p>
        </w:tc>
        <w:tc>
          <w:tcPr>
            <w:tcW w:w="3020"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460" w:lineRule="exact"/>
              <w:ind w:right="0"/>
              <w:jc w:val="center"/>
              <w:rPr>
                <w:rFonts w:hint="default" w:ascii="Times New Roman" w:hAnsi="Times New Roman" w:eastAsia="仿宋_GB2312" w:cs="Times New Roman"/>
                <w:b/>
                <w:kern w:val="0"/>
                <w:sz w:val="24"/>
                <w:szCs w:val="24"/>
              </w:rPr>
            </w:pPr>
            <w:r>
              <w:rPr>
                <w:rFonts w:hint="default" w:ascii="Times New Roman" w:hAnsi="Times New Roman" w:eastAsia="仿宋_GB2312" w:cs="Times New Roman"/>
                <w:b/>
                <w:kern w:val="0"/>
                <w:sz w:val="24"/>
                <w:szCs w:val="24"/>
              </w:rPr>
              <w:t>36%</w:t>
            </w:r>
          </w:p>
        </w:tc>
      </w:tr>
    </w:tbl>
    <w:p>
      <w:pPr>
        <w:pStyle w:val="9"/>
        <w:numPr>
          <w:ilvl w:val="0"/>
          <w:numId w:val="0"/>
        </w:numPr>
        <w:adjustRightInd w:val="0"/>
        <w:snapToGrid w:val="0"/>
        <w:spacing w:beforeLines="0" w:afterLines="0" w:line="579" w:lineRule="exact"/>
        <w:ind w:left="0" w:firstLine="641" w:firstLineChars="200"/>
        <w:jc w:val="left"/>
        <w:outlineLvl w:val="0"/>
        <w:rPr>
          <w:rFonts w:hint="default" w:ascii="Times New Roman" w:hAnsi="Times New Roman" w:eastAsia="楷体_GB2312" w:cs="Times New Roman"/>
          <w:b/>
          <w:color w:val="000000"/>
          <w:sz w:val="32"/>
          <w:szCs w:val="32"/>
        </w:rPr>
      </w:pPr>
      <w:bookmarkStart w:id="47" w:name="_Toc69378088"/>
      <w:r>
        <w:rPr>
          <w:rFonts w:hint="default" w:ascii="Times New Roman" w:hAnsi="Times New Roman" w:eastAsia="楷体_GB2312" w:cs="Times New Roman"/>
          <w:b/>
          <w:color w:val="000000"/>
          <w:sz w:val="32"/>
          <w:szCs w:val="32"/>
          <w:lang w:eastAsia="zh-CN"/>
        </w:rPr>
        <w:t>（二）</w:t>
      </w:r>
      <w:r>
        <w:rPr>
          <w:rFonts w:hint="default" w:ascii="Times New Roman" w:hAnsi="Times New Roman" w:eastAsia="楷体_GB2312" w:cs="Times New Roman"/>
          <w:b/>
          <w:color w:val="000000"/>
          <w:sz w:val="32"/>
          <w:szCs w:val="32"/>
        </w:rPr>
        <w:t>存在问题</w:t>
      </w:r>
      <w:bookmarkEnd w:id="47"/>
    </w:p>
    <w:p>
      <w:pPr>
        <w:adjustRightInd w:val="0"/>
        <w:snapToGrid w:val="0"/>
        <w:spacing w:beforeLines="0" w:afterLines="0" w:line="579" w:lineRule="exact"/>
        <w:ind w:firstLine="640" w:firstLineChars="200"/>
        <w:textAlignment w:val="center"/>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随着可再生能源技术进步和产业化步伐的加快，我省大部分可再生能源已具备规模化开发应用的基础，具有良好的发展前景，但也面临着一些困难和问题，主要表现在：</w:t>
      </w:r>
    </w:p>
    <w:p>
      <w:pPr>
        <w:adjustRightInd w:val="0"/>
        <w:snapToGrid w:val="0"/>
        <w:spacing w:beforeLines="0" w:afterLines="0" w:line="579" w:lineRule="exact"/>
        <w:ind w:firstLine="643" w:firstLineChars="200"/>
        <w:textAlignment w:val="center"/>
        <w:rPr>
          <w:rFonts w:ascii="Times New Roman" w:hAnsi="Times New Roman" w:eastAsia="仿宋_GB2312" w:cs="Times New Roman"/>
          <w:b/>
          <w:color w:val="000000"/>
          <w:sz w:val="32"/>
          <w:szCs w:val="32"/>
        </w:rPr>
      </w:pPr>
      <w:r>
        <w:rPr>
          <w:rFonts w:ascii="Times New Roman" w:hAnsi="Times New Roman" w:eastAsia="仿宋_GB2312" w:cs="Times New Roman"/>
          <w:b/>
          <w:color w:val="000000"/>
          <w:sz w:val="32"/>
          <w:szCs w:val="32"/>
        </w:rPr>
        <w:t>1</w:t>
      </w:r>
      <w:r>
        <w:rPr>
          <w:rFonts w:hint="eastAsia" w:ascii="Times New Roman" w:hAnsi="Times New Roman" w:cs="Times New Roman"/>
          <w:b/>
          <w:color w:val="000000"/>
          <w:sz w:val="32"/>
          <w:szCs w:val="32"/>
          <w:lang w:eastAsia="zh-CN"/>
        </w:rPr>
        <w:t>．</w:t>
      </w:r>
      <w:r>
        <w:rPr>
          <w:rFonts w:ascii="Times New Roman" w:hAnsi="Times New Roman" w:eastAsia="仿宋_GB2312" w:cs="Times New Roman"/>
          <w:b/>
          <w:color w:val="000000"/>
          <w:sz w:val="32"/>
          <w:szCs w:val="32"/>
        </w:rPr>
        <w:t>可再生能源发展空间受限</w:t>
      </w:r>
    </w:p>
    <w:p>
      <w:pPr>
        <w:adjustRightInd w:val="0"/>
        <w:snapToGrid w:val="0"/>
        <w:spacing w:beforeLines="0" w:afterLines="0" w:line="550" w:lineRule="exact"/>
        <w:ind w:firstLine="640" w:firstLineChars="200"/>
        <w:textAlignment w:val="center"/>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受用地、用海等制约，我省一些可再生能源项目存在落地难、推进缓慢的情况。海上风电和集中式光伏项目政策窗口期短，部分项目受制于用地、用海审批等因素，被迫放弃投资。另一方面，随着可供开发资源减少，项目收益降低，可再生能源可发展空间有限。我省光伏经过近几年的规模发展，可用于光伏建设的地面、屋顶资源已所剩不多。</w:t>
      </w:r>
    </w:p>
    <w:p>
      <w:pPr>
        <w:adjustRightInd w:val="0"/>
        <w:snapToGrid w:val="0"/>
        <w:spacing w:beforeLines="0" w:afterLines="0" w:line="550" w:lineRule="exact"/>
        <w:ind w:firstLine="643" w:firstLineChars="200"/>
        <w:textAlignment w:val="center"/>
        <w:rPr>
          <w:rFonts w:ascii="Times New Roman" w:hAnsi="Times New Roman" w:eastAsia="仿宋_GB2312" w:cs="Times New Roman"/>
          <w:b/>
          <w:color w:val="000000"/>
          <w:sz w:val="32"/>
          <w:szCs w:val="32"/>
        </w:rPr>
      </w:pPr>
      <w:r>
        <w:rPr>
          <w:rFonts w:ascii="Times New Roman" w:hAnsi="Times New Roman" w:eastAsia="仿宋_GB2312" w:cs="Times New Roman"/>
          <w:b/>
          <w:color w:val="000000"/>
          <w:sz w:val="32"/>
          <w:szCs w:val="32"/>
        </w:rPr>
        <w:t>2</w:t>
      </w:r>
      <w:r>
        <w:rPr>
          <w:rFonts w:hint="eastAsia" w:ascii="Times New Roman" w:hAnsi="Times New Roman" w:cs="Times New Roman"/>
          <w:b/>
          <w:color w:val="000000"/>
          <w:sz w:val="32"/>
          <w:szCs w:val="32"/>
          <w:lang w:eastAsia="zh-CN"/>
        </w:rPr>
        <w:t>．</w:t>
      </w:r>
      <w:r>
        <w:rPr>
          <w:rFonts w:ascii="Times New Roman" w:hAnsi="Times New Roman" w:eastAsia="仿宋_GB2312" w:cs="Times New Roman"/>
          <w:b/>
          <w:color w:val="000000"/>
          <w:sz w:val="32"/>
          <w:szCs w:val="32"/>
        </w:rPr>
        <w:t>可再生能源发展缺乏统盘考虑</w:t>
      </w:r>
    </w:p>
    <w:p>
      <w:pPr>
        <w:adjustRightInd w:val="0"/>
        <w:snapToGrid w:val="0"/>
        <w:spacing w:beforeLines="0" w:afterLines="0" w:line="550" w:lineRule="exact"/>
        <w:ind w:firstLine="640" w:firstLineChars="200"/>
        <w:textAlignment w:val="center"/>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一方面，各能源品种之间缺乏联动，风电、光伏和水电之间结合不够紧密，缺乏多能互补、一体化开发的统盘考虑。另一方面，资源开发和产业布局缺乏统筹，主要表现在海上风电相关配套产业尚未形成完整体系，存在部分重要链条缺失、企业竞争力参差不齐、试验与服务能力不强等问题。</w:t>
      </w:r>
    </w:p>
    <w:p>
      <w:pPr>
        <w:adjustRightInd w:val="0"/>
        <w:snapToGrid w:val="0"/>
        <w:spacing w:beforeLines="0" w:afterLines="0" w:line="550" w:lineRule="exact"/>
        <w:ind w:firstLine="643" w:firstLineChars="200"/>
        <w:textAlignment w:val="center"/>
        <w:rPr>
          <w:rFonts w:ascii="Times New Roman" w:hAnsi="Times New Roman" w:eastAsia="仿宋_GB2312" w:cs="Times New Roman"/>
          <w:b/>
          <w:color w:val="000000"/>
          <w:sz w:val="32"/>
          <w:szCs w:val="32"/>
        </w:rPr>
      </w:pPr>
      <w:r>
        <w:rPr>
          <w:rFonts w:ascii="Times New Roman" w:hAnsi="Times New Roman" w:eastAsia="仿宋_GB2312" w:cs="Times New Roman"/>
          <w:b/>
          <w:color w:val="000000"/>
          <w:sz w:val="32"/>
          <w:szCs w:val="32"/>
        </w:rPr>
        <w:t>3</w:t>
      </w:r>
      <w:r>
        <w:rPr>
          <w:rFonts w:hint="eastAsia" w:ascii="Times New Roman" w:hAnsi="Times New Roman" w:cs="Times New Roman"/>
          <w:b/>
          <w:color w:val="000000"/>
          <w:sz w:val="32"/>
          <w:szCs w:val="32"/>
          <w:lang w:eastAsia="zh-CN"/>
        </w:rPr>
        <w:t>．</w:t>
      </w:r>
      <w:r>
        <w:rPr>
          <w:rFonts w:ascii="Times New Roman" w:hAnsi="Times New Roman" w:eastAsia="仿宋_GB2312" w:cs="Times New Roman"/>
          <w:b/>
          <w:color w:val="000000"/>
          <w:sz w:val="32"/>
          <w:szCs w:val="32"/>
        </w:rPr>
        <w:t>可再生能源的综合带动效应未充分体现</w:t>
      </w:r>
    </w:p>
    <w:p>
      <w:pPr>
        <w:adjustRightInd w:val="0"/>
        <w:snapToGrid w:val="0"/>
        <w:spacing w:beforeLines="0" w:afterLines="0" w:line="550" w:lineRule="exact"/>
        <w:ind w:firstLine="640" w:firstLineChars="200"/>
        <w:textAlignment w:val="center"/>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可再生能源的大力发展促进了我省能源结构转型升级，降低了碳排放，一定程度也带动了相关产业的发展，但是其对整个社会经济发展综合带动效应未得到充分体现。光伏小康项目仅起到了消薄增收作用，在生态价值实现、产业带动等方面应有的作用未得到发挥。市级层面，可再生能源的发展与用能空间关联度不够，一些地区发展可再生能源积极性不高。</w:t>
      </w:r>
    </w:p>
    <w:p>
      <w:pPr>
        <w:pStyle w:val="9"/>
        <w:numPr>
          <w:ilvl w:val="0"/>
          <w:numId w:val="0"/>
        </w:numPr>
        <w:adjustRightInd w:val="0"/>
        <w:snapToGrid w:val="0"/>
        <w:spacing w:beforeLines="0" w:afterLines="0" w:line="550" w:lineRule="exact"/>
        <w:ind w:left="0" w:firstLine="641" w:firstLineChars="200"/>
        <w:jc w:val="left"/>
        <w:outlineLvl w:val="0"/>
        <w:rPr>
          <w:rFonts w:ascii="Times New Roman" w:hAnsi="Times New Roman" w:eastAsia="楷体_GB2312" w:cs="Times New Roman"/>
          <w:b/>
          <w:color w:val="000000"/>
          <w:sz w:val="32"/>
          <w:szCs w:val="32"/>
        </w:rPr>
      </w:pPr>
      <w:bookmarkStart w:id="48" w:name="_Toc56946927"/>
      <w:bookmarkEnd w:id="48"/>
      <w:bookmarkStart w:id="49" w:name="_Toc61460253"/>
      <w:bookmarkEnd w:id="49"/>
      <w:bookmarkStart w:id="50" w:name="_Toc56944417"/>
      <w:bookmarkEnd w:id="50"/>
      <w:bookmarkStart w:id="51" w:name="_Toc56943151"/>
      <w:bookmarkEnd w:id="51"/>
      <w:bookmarkStart w:id="52" w:name="_Toc56945757"/>
      <w:bookmarkEnd w:id="52"/>
      <w:bookmarkStart w:id="53" w:name="_Toc56958962"/>
      <w:bookmarkEnd w:id="53"/>
      <w:bookmarkStart w:id="54" w:name="_Toc56946991"/>
      <w:bookmarkEnd w:id="54"/>
      <w:bookmarkStart w:id="55" w:name="_Toc69378089"/>
      <w:r>
        <w:rPr>
          <w:rFonts w:hint="default" w:ascii="Times New Roman" w:hAnsi="Times New Roman" w:eastAsia="楷体_GB2312" w:cs="Times New Roman"/>
          <w:b/>
          <w:color w:val="000000"/>
          <w:sz w:val="32"/>
          <w:szCs w:val="32"/>
          <w:lang w:eastAsia="zh-CN"/>
        </w:rPr>
        <w:t>（三）</w:t>
      </w:r>
      <w:r>
        <w:rPr>
          <w:rFonts w:ascii="Times New Roman" w:hAnsi="Times New Roman" w:eastAsia="楷体_GB2312" w:cs="Times New Roman"/>
          <w:b/>
          <w:color w:val="000000"/>
          <w:sz w:val="32"/>
          <w:szCs w:val="32"/>
        </w:rPr>
        <w:t>面临形势</w:t>
      </w:r>
      <w:bookmarkEnd w:id="55"/>
    </w:p>
    <w:p>
      <w:pPr>
        <w:adjustRightInd w:val="0"/>
        <w:snapToGrid w:val="0"/>
        <w:spacing w:beforeLines="0" w:afterLines="0" w:line="550" w:lineRule="exact"/>
        <w:ind w:firstLine="640" w:firstLineChars="200"/>
        <w:textAlignment w:val="center"/>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根据能源高质量发展的新要求，我省正着力构建清洁低碳、安全高效的能源体系，打造能源转型的浙江样板。可再生能源健康有序的发展作为支撑能源绿色转型的重要一环，在“十四五”期间面临诸多的机遇与挑战。</w:t>
      </w:r>
    </w:p>
    <w:p>
      <w:pPr>
        <w:adjustRightInd w:val="0"/>
        <w:snapToGrid w:val="0"/>
        <w:spacing w:beforeLines="0" w:afterLines="0" w:line="579" w:lineRule="exact"/>
        <w:ind w:firstLine="643" w:firstLineChars="200"/>
        <w:textAlignment w:val="center"/>
        <w:rPr>
          <w:rFonts w:ascii="Times New Roman" w:hAnsi="Times New Roman" w:eastAsia="仿宋_GB2312" w:cs="Times New Roman"/>
          <w:b/>
          <w:color w:val="000000"/>
          <w:sz w:val="32"/>
          <w:szCs w:val="32"/>
        </w:rPr>
      </w:pPr>
      <w:r>
        <w:rPr>
          <w:rFonts w:ascii="Times New Roman" w:hAnsi="Times New Roman" w:eastAsia="仿宋_GB2312" w:cs="Times New Roman"/>
          <w:b/>
          <w:color w:val="000000"/>
          <w:sz w:val="32"/>
          <w:szCs w:val="32"/>
        </w:rPr>
        <w:t>1</w:t>
      </w:r>
      <w:r>
        <w:rPr>
          <w:rFonts w:hint="eastAsia" w:ascii="Times New Roman" w:hAnsi="Times New Roman" w:cs="Times New Roman"/>
          <w:b/>
          <w:color w:val="000000"/>
          <w:sz w:val="32"/>
          <w:szCs w:val="32"/>
          <w:lang w:eastAsia="zh-CN"/>
        </w:rPr>
        <w:t>．</w:t>
      </w:r>
      <w:r>
        <w:rPr>
          <w:rFonts w:ascii="Times New Roman" w:hAnsi="Times New Roman" w:eastAsia="仿宋_GB2312" w:cs="Times New Roman"/>
          <w:b/>
          <w:color w:val="000000"/>
          <w:sz w:val="32"/>
          <w:szCs w:val="32"/>
        </w:rPr>
        <w:t>国际、国内形势为可再生能源发展创造新的机遇</w:t>
      </w:r>
    </w:p>
    <w:p>
      <w:pPr>
        <w:adjustRightInd w:val="0"/>
        <w:snapToGrid w:val="0"/>
        <w:spacing w:beforeLines="0" w:afterLines="0" w:line="579" w:lineRule="exact"/>
        <w:ind w:firstLine="640" w:firstLineChars="200"/>
        <w:textAlignment w:val="center"/>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在全球推动应对气候变化等因素共同作用下，世界能源清洁低碳发展大势已成，世界各国纷纷制定能源转型战略，推动清洁能源发展。面对不确定的国际政治局势，我国积极构建以国内大循环为主体、国内国际双循环相互促进的新发展格局，可再生能源及相关产业在新发展格局下应积极参与国际竞争与合作。2020年9月22日，习近平总书记在第七十五届联大一般性辩论上提出“我国二氧化碳排放力争于2030年前达到峰值，努力争取2060年前实现碳中和”的愿景。12月12日，习近平总书记在气候雄心峰会明确了2030年风电、光伏的发展目标。2021年3月15日，习近平总书记主持召开中央财经委员会第九次会议，会议强调“实施可再生能源替代行动，深化电力体制改革，构建以新能源为主体的新型电力系统”。在碳达峰、碳中和愿景，风电、太阳能12亿千瓦以上发展目标以及构建新型电力系统的激励下，可再生能源发展获得了新的机遇。我省作为国家首个清洁能源示范省，更应积极推动能源清洁低碳转型，坚持可再生能源开发，积极推动能源、产业结构低碳转型升级，为全国实现碳达峰、碳中和目标做出浙江贡献。</w:t>
      </w:r>
    </w:p>
    <w:p>
      <w:pPr>
        <w:adjustRightInd w:val="0"/>
        <w:snapToGrid w:val="0"/>
        <w:spacing w:beforeLines="0" w:afterLines="0" w:line="579" w:lineRule="exact"/>
        <w:ind w:firstLine="643" w:firstLineChars="200"/>
        <w:textAlignment w:val="center"/>
        <w:rPr>
          <w:rFonts w:ascii="Times New Roman" w:hAnsi="Times New Roman" w:eastAsia="仿宋_GB2312" w:cs="Times New Roman"/>
          <w:b/>
          <w:color w:val="000000"/>
          <w:sz w:val="32"/>
          <w:szCs w:val="32"/>
        </w:rPr>
      </w:pPr>
      <w:r>
        <w:rPr>
          <w:rFonts w:ascii="Times New Roman" w:hAnsi="Times New Roman" w:eastAsia="仿宋_GB2312" w:cs="Times New Roman"/>
          <w:b/>
          <w:color w:val="000000"/>
          <w:sz w:val="32"/>
          <w:szCs w:val="32"/>
        </w:rPr>
        <w:t>2</w:t>
      </w:r>
      <w:r>
        <w:rPr>
          <w:rFonts w:hint="eastAsia" w:ascii="Times New Roman" w:hAnsi="Times New Roman" w:cs="Times New Roman"/>
          <w:b/>
          <w:color w:val="000000"/>
          <w:sz w:val="32"/>
          <w:szCs w:val="32"/>
          <w:lang w:eastAsia="zh-CN"/>
        </w:rPr>
        <w:t>．</w:t>
      </w:r>
      <w:r>
        <w:rPr>
          <w:rFonts w:ascii="Times New Roman" w:hAnsi="Times New Roman" w:eastAsia="仿宋_GB2312" w:cs="Times New Roman"/>
          <w:b/>
          <w:color w:val="000000"/>
          <w:sz w:val="32"/>
          <w:szCs w:val="32"/>
        </w:rPr>
        <w:t>新的发展阶段给可再生能源发展带来新的挑战</w:t>
      </w:r>
    </w:p>
    <w:p>
      <w:pPr>
        <w:adjustRightInd w:val="0"/>
        <w:snapToGrid w:val="0"/>
        <w:spacing w:beforeLines="0" w:afterLines="0" w:line="579" w:lineRule="exact"/>
        <w:ind w:firstLine="640" w:firstLineChars="200"/>
        <w:textAlignment w:val="center"/>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电价政策方面，从2021年开始，陆上风电和光伏将进入平价时代，从2022年开始，新增海上风电项目不再纳入中央财政补贴范围。我省海上风电资源禀赋较差，建设条件一般，平价时代的到来对我省海上风电发展影响较大。消纳和市场化政策方面，可再生能源电力消纳责任权重、分布式发电市场化交易、绿色电力证书、碳交易、储能相关政策的发布对可再生能源参加市场化竞争、参与电力辅助服务市场提出了新的要求。</w:t>
      </w:r>
    </w:p>
    <w:p>
      <w:pPr>
        <w:adjustRightInd w:val="0"/>
        <w:snapToGrid w:val="0"/>
        <w:spacing w:beforeLines="0" w:afterLines="0" w:line="579" w:lineRule="exact"/>
        <w:ind w:firstLine="643" w:firstLineChars="200"/>
        <w:textAlignment w:val="center"/>
        <w:rPr>
          <w:rFonts w:ascii="Times New Roman" w:hAnsi="Times New Roman" w:eastAsia="仿宋_GB2312" w:cs="Times New Roman"/>
          <w:b/>
          <w:color w:val="000000"/>
          <w:sz w:val="32"/>
          <w:szCs w:val="32"/>
        </w:rPr>
      </w:pPr>
      <w:r>
        <w:rPr>
          <w:rFonts w:ascii="Times New Roman" w:hAnsi="Times New Roman" w:eastAsia="仿宋_GB2312" w:cs="Times New Roman"/>
          <w:b/>
          <w:color w:val="000000"/>
          <w:sz w:val="32"/>
          <w:szCs w:val="32"/>
        </w:rPr>
        <w:t>3</w:t>
      </w:r>
      <w:r>
        <w:rPr>
          <w:rFonts w:hint="eastAsia" w:ascii="Times New Roman" w:hAnsi="Times New Roman" w:cs="Times New Roman"/>
          <w:b/>
          <w:color w:val="000000"/>
          <w:sz w:val="32"/>
          <w:szCs w:val="32"/>
          <w:lang w:eastAsia="zh-CN"/>
        </w:rPr>
        <w:t>．</w:t>
      </w:r>
      <w:r>
        <w:rPr>
          <w:rFonts w:ascii="Times New Roman" w:hAnsi="Times New Roman" w:eastAsia="仿宋_GB2312" w:cs="Times New Roman"/>
          <w:b/>
          <w:color w:val="000000"/>
          <w:sz w:val="32"/>
          <w:szCs w:val="32"/>
        </w:rPr>
        <w:t>能源保供形势要求可再生能源发挥更大作用</w:t>
      </w:r>
    </w:p>
    <w:p>
      <w:pPr>
        <w:adjustRightInd w:val="0"/>
        <w:snapToGrid w:val="0"/>
        <w:spacing w:beforeLines="0" w:afterLines="0" w:line="579" w:lineRule="exact"/>
        <w:ind w:firstLine="640" w:firstLineChars="200"/>
        <w:textAlignment w:val="center"/>
        <w:rPr>
          <w:rFonts w:ascii="Times New Roman" w:hAnsi="Times New Roman" w:eastAsia="仿宋_GB2312" w:cs="Times New Roman"/>
          <w:color w:val="000000"/>
          <w:sz w:val="32"/>
          <w:szCs w:val="32"/>
          <w:highlight w:val="yellow"/>
        </w:rPr>
      </w:pPr>
      <w:r>
        <w:rPr>
          <w:rFonts w:ascii="Times New Roman" w:hAnsi="Times New Roman" w:eastAsia="仿宋_GB2312" w:cs="Times New Roman"/>
          <w:color w:val="000000"/>
          <w:sz w:val="32"/>
          <w:szCs w:val="32"/>
        </w:rPr>
        <w:t>“十四五”期间，随着社会经济不断发展和电能替代速度加快，我省电力需求仍将保持一定量的增长。能源供应保障存在时段性、结构性矛盾，迎峰度夏、迎峰度冬期间电力等能源供应紧张。风电、光伏等可再生能源具有随机性、波动性等特点。在能源保供的形势和电力系统技术导则的要求下，风电、光伏需提高自身稳定性，在大规模新增装机、替代化石能源的同时，应提升电能质量、提高调节能力，保障电力供应体系安全、稳定运行；抽水蓄能需加快建设速度，充分发挥保供作用。</w:t>
      </w:r>
    </w:p>
    <w:p>
      <w:pPr>
        <w:adjustRightInd w:val="0"/>
        <w:snapToGrid w:val="0"/>
        <w:spacing w:beforeLines="0" w:afterLines="0" w:line="579" w:lineRule="exact"/>
        <w:ind w:firstLine="643" w:firstLineChars="200"/>
        <w:textAlignment w:val="center"/>
        <w:rPr>
          <w:rFonts w:ascii="Times New Roman" w:hAnsi="Times New Roman" w:eastAsia="仿宋_GB2312" w:cs="Times New Roman"/>
          <w:b/>
          <w:color w:val="000000"/>
          <w:sz w:val="32"/>
          <w:szCs w:val="32"/>
        </w:rPr>
      </w:pPr>
      <w:r>
        <w:rPr>
          <w:rFonts w:ascii="Times New Roman" w:hAnsi="Times New Roman" w:eastAsia="仿宋_GB2312" w:cs="Times New Roman"/>
          <w:b/>
          <w:color w:val="000000"/>
          <w:sz w:val="32"/>
          <w:szCs w:val="32"/>
        </w:rPr>
        <w:t>4</w:t>
      </w:r>
      <w:r>
        <w:rPr>
          <w:rFonts w:hint="eastAsia" w:ascii="Times New Roman" w:hAnsi="Times New Roman" w:cs="Times New Roman"/>
          <w:b/>
          <w:color w:val="000000"/>
          <w:sz w:val="32"/>
          <w:szCs w:val="32"/>
          <w:lang w:eastAsia="zh-CN"/>
        </w:rPr>
        <w:t>．</w:t>
      </w:r>
      <w:r>
        <w:rPr>
          <w:rFonts w:ascii="Times New Roman" w:hAnsi="Times New Roman" w:eastAsia="仿宋_GB2312" w:cs="Times New Roman"/>
          <w:b/>
          <w:color w:val="000000"/>
          <w:sz w:val="32"/>
          <w:szCs w:val="32"/>
        </w:rPr>
        <w:t>绿色发展理念对可再生能源发展提出更高要求</w:t>
      </w:r>
    </w:p>
    <w:p>
      <w:pPr>
        <w:pStyle w:val="8"/>
        <w:adjustRightInd w:val="0"/>
        <w:snapToGrid w:val="0"/>
        <w:spacing w:beforeLines="0" w:afterLines="0" w:line="579" w:lineRule="exact"/>
        <w:ind w:firstLine="632"/>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在发展可再生能源时，应践行“绿水青山就是金山银山”理念，守住自然生态安全边界，注重资源开发与城市发展、乡村振兴、生态环境相协调，解决风电、光伏全寿命周期的无害化、绿色化问题，降低水电开发建设对生态环境的影响，协调生物质发电和城市发展、美丽乡村的关系，把生态环境负面影响降到最低，做到可再生能源发展与生态环境相融合。</w:t>
      </w:r>
    </w:p>
    <w:p>
      <w:pPr>
        <w:pStyle w:val="8"/>
        <w:numPr>
          <w:ilvl w:val="0"/>
          <w:numId w:val="0"/>
        </w:numPr>
        <w:adjustRightInd w:val="0"/>
        <w:snapToGrid w:val="0"/>
        <w:spacing w:beforeLines="0" w:afterLines="0" w:line="579" w:lineRule="exact"/>
        <w:ind w:left="0" w:firstLine="640" w:firstLineChars="200"/>
        <w:outlineLvl w:val="0"/>
        <w:rPr>
          <w:rFonts w:ascii="Times New Roman" w:hAnsi="Times New Roman" w:eastAsia="黑体" w:cs="Times New Roman"/>
          <w:color w:val="000000"/>
          <w:sz w:val="32"/>
          <w:szCs w:val="32"/>
        </w:rPr>
      </w:pPr>
      <w:bookmarkStart w:id="56" w:name="_Toc61460255"/>
      <w:bookmarkEnd w:id="56"/>
      <w:bookmarkStart w:id="57" w:name="_Toc69378090"/>
      <w:r>
        <w:rPr>
          <w:rFonts w:hint="eastAsia" w:ascii="Times New Roman" w:hAnsi="Times New Roman" w:eastAsia="黑体" w:cs="Times New Roman"/>
          <w:color w:val="000000"/>
          <w:sz w:val="32"/>
          <w:szCs w:val="32"/>
          <w:lang w:eastAsia="zh-CN"/>
        </w:rPr>
        <w:t>二、</w:t>
      </w:r>
      <w:r>
        <w:rPr>
          <w:rFonts w:ascii="Times New Roman" w:hAnsi="Times New Roman" w:eastAsia="黑体" w:cs="Times New Roman"/>
          <w:color w:val="000000"/>
          <w:sz w:val="32"/>
          <w:szCs w:val="32"/>
        </w:rPr>
        <w:t>总体要求</w:t>
      </w:r>
      <w:bookmarkEnd w:id="57"/>
    </w:p>
    <w:p>
      <w:pPr>
        <w:pStyle w:val="9"/>
        <w:numPr>
          <w:ilvl w:val="0"/>
          <w:numId w:val="0"/>
        </w:numPr>
        <w:adjustRightInd w:val="0"/>
        <w:snapToGrid w:val="0"/>
        <w:spacing w:beforeLines="0" w:afterLines="0" w:line="579" w:lineRule="exact"/>
        <w:ind w:left="0" w:firstLine="641" w:firstLineChars="200"/>
        <w:jc w:val="left"/>
        <w:outlineLvl w:val="0"/>
        <w:rPr>
          <w:rFonts w:ascii="Times New Roman" w:hAnsi="Times New Roman" w:eastAsia="楷体_GB2312" w:cs="Times New Roman"/>
          <w:b/>
          <w:color w:val="000000"/>
          <w:sz w:val="32"/>
          <w:szCs w:val="32"/>
        </w:rPr>
      </w:pPr>
      <w:bookmarkStart w:id="58" w:name="_Toc69378091"/>
      <w:r>
        <w:rPr>
          <w:rFonts w:hint="default" w:ascii="Times New Roman" w:hAnsi="Times New Roman" w:eastAsia="楷体_GB2312" w:cs="Times New Roman"/>
          <w:b/>
          <w:color w:val="000000"/>
          <w:sz w:val="32"/>
          <w:szCs w:val="32"/>
          <w:lang w:eastAsia="zh-CN"/>
        </w:rPr>
        <w:t>（一）</w:t>
      </w:r>
      <w:r>
        <w:rPr>
          <w:rFonts w:ascii="Times New Roman" w:hAnsi="Times New Roman" w:eastAsia="楷体_GB2312" w:cs="Times New Roman"/>
          <w:b/>
          <w:color w:val="000000"/>
          <w:sz w:val="32"/>
          <w:szCs w:val="32"/>
        </w:rPr>
        <w:t>指导思想</w:t>
      </w:r>
      <w:bookmarkEnd w:id="58"/>
    </w:p>
    <w:p>
      <w:pPr>
        <w:snapToGrid w:val="0"/>
        <w:spacing w:beforeLines="0" w:afterLines="0" w:line="579"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以“四个革命、一个合作”的能源安全新战略为指导，深入贯彻党的十九大和十九届二中、三中、四中、五中全会精神，以能源安全和保障供应为出发点，以优化调整能源结构为主线，以科技和政策创新为驱动，以构建以新能源为主体的新型电力系统为目标，适应国家可再生能源大规模、高比例、高质量、市场化发展的形势要求，形成以风、光、水和生物质发电为主，海洋能和地热能综合利用为辅的多元发展新格局，充分发挥我省数字经济优势，打造浙江智慧能源示范区，为我省建设国家清洁能源示范省作出更大贡献。</w:t>
      </w:r>
    </w:p>
    <w:p>
      <w:pPr>
        <w:pStyle w:val="9"/>
        <w:numPr>
          <w:ilvl w:val="0"/>
          <w:numId w:val="0"/>
        </w:numPr>
        <w:adjustRightInd w:val="0"/>
        <w:snapToGrid w:val="0"/>
        <w:spacing w:beforeLines="0" w:afterLines="0" w:line="579" w:lineRule="exact"/>
        <w:ind w:left="0" w:firstLine="641" w:firstLineChars="200"/>
        <w:jc w:val="left"/>
        <w:outlineLvl w:val="0"/>
        <w:rPr>
          <w:rFonts w:hint="default" w:ascii="Times New Roman" w:hAnsi="Times New Roman" w:eastAsia="楷体_GB2312" w:cs="Times New Roman"/>
          <w:b/>
          <w:color w:val="000000"/>
          <w:sz w:val="32"/>
          <w:szCs w:val="32"/>
        </w:rPr>
      </w:pPr>
      <w:bookmarkStart w:id="59" w:name="_Toc69378092"/>
      <w:r>
        <w:rPr>
          <w:rFonts w:hint="default" w:ascii="Times New Roman" w:hAnsi="Times New Roman" w:eastAsia="楷体_GB2312" w:cs="Times New Roman"/>
          <w:b/>
          <w:color w:val="000000"/>
          <w:sz w:val="32"/>
          <w:szCs w:val="32"/>
          <w:lang w:eastAsia="zh-CN"/>
        </w:rPr>
        <w:t>（二）</w:t>
      </w:r>
      <w:r>
        <w:rPr>
          <w:rFonts w:hint="default" w:ascii="Times New Roman" w:hAnsi="Times New Roman" w:eastAsia="楷体_GB2312" w:cs="Times New Roman"/>
          <w:b/>
          <w:color w:val="000000"/>
          <w:sz w:val="32"/>
          <w:szCs w:val="32"/>
        </w:rPr>
        <w:t>基本原则</w:t>
      </w:r>
      <w:bookmarkEnd w:id="59"/>
    </w:p>
    <w:p>
      <w:pPr>
        <w:adjustRightInd w:val="0"/>
        <w:snapToGrid w:val="0"/>
        <w:spacing w:beforeLines="0" w:afterLines="0" w:line="579" w:lineRule="exact"/>
        <w:ind w:firstLine="643" w:firstLineChars="200"/>
        <w:textAlignment w:val="center"/>
        <w:rPr>
          <w:rFonts w:ascii="Times New Roman" w:hAnsi="Times New Roman" w:eastAsia="仿宋_GB2312" w:cs="Times New Roman"/>
          <w:color w:val="000000"/>
          <w:sz w:val="32"/>
          <w:szCs w:val="32"/>
        </w:rPr>
      </w:pPr>
      <w:bookmarkStart w:id="60" w:name="_Toc61460260"/>
      <w:bookmarkEnd w:id="60"/>
      <w:r>
        <w:rPr>
          <w:rFonts w:ascii="Times New Roman" w:hAnsi="Times New Roman" w:eastAsia="仿宋_GB2312" w:cs="Times New Roman"/>
          <w:b/>
          <w:color w:val="000000"/>
          <w:sz w:val="32"/>
          <w:szCs w:val="32"/>
        </w:rPr>
        <w:t>规模发展，保障安全。</w:t>
      </w:r>
      <w:r>
        <w:rPr>
          <w:rFonts w:ascii="Times New Roman" w:hAnsi="Times New Roman" w:eastAsia="仿宋_GB2312" w:cs="Times New Roman"/>
          <w:color w:val="000000"/>
          <w:sz w:val="32"/>
          <w:szCs w:val="32"/>
        </w:rPr>
        <w:t>把扩大可再生能源利用规模，提高可再生能源电力消费占比作为重要引导性指标，充分发挥可再生能源资源分布广、产品形式多样的特点，推动可再生能源高质量发展，保障能源供应和安全。</w:t>
      </w:r>
    </w:p>
    <w:p>
      <w:pPr>
        <w:adjustRightInd w:val="0"/>
        <w:snapToGrid w:val="0"/>
        <w:spacing w:beforeLines="0" w:afterLines="0" w:line="579" w:lineRule="exact"/>
        <w:ind w:firstLine="643" w:firstLineChars="200"/>
        <w:textAlignment w:val="center"/>
        <w:rPr>
          <w:rFonts w:ascii="Times New Roman" w:hAnsi="Times New Roman" w:eastAsia="仿宋_GB2312" w:cs="Times New Roman"/>
          <w:b/>
          <w:color w:val="000000"/>
          <w:sz w:val="32"/>
          <w:szCs w:val="32"/>
        </w:rPr>
      </w:pPr>
      <w:r>
        <w:rPr>
          <w:rFonts w:ascii="Times New Roman" w:hAnsi="Times New Roman" w:eastAsia="仿宋_GB2312" w:cs="Times New Roman"/>
          <w:b/>
          <w:color w:val="000000"/>
          <w:sz w:val="32"/>
          <w:szCs w:val="32"/>
        </w:rPr>
        <w:t>促进优化，生态和谐。</w:t>
      </w:r>
      <w:r>
        <w:rPr>
          <w:rFonts w:ascii="Times New Roman" w:hAnsi="Times New Roman" w:eastAsia="仿宋_GB2312" w:cs="Times New Roman"/>
          <w:color w:val="000000"/>
          <w:sz w:val="32"/>
          <w:szCs w:val="32"/>
        </w:rPr>
        <w:t>把握生态文明建设要求，持续推进能源结构优化调整，大力发展可再生能源，逐步支撑能源碳达峰行动。推动可再生能源产业绿色发展，形成绿色能源消费机制，实现可再生能源与生态环境和谐共生，相互促进。</w:t>
      </w:r>
    </w:p>
    <w:p>
      <w:pPr>
        <w:adjustRightInd w:val="0"/>
        <w:snapToGrid w:val="0"/>
        <w:spacing w:beforeLines="0" w:afterLines="0" w:line="579" w:lineRule="exact"/>
        <w:ind w:firstLine="643" w:firstLineChars="200"/>
        <w:textAlignment w:val="center"/>
        <w:rPr>
          <w:rFonts w:ascii="Times New Roman" w:hAnsi="Times New Roman" w:eastAsia="仿宋_GB2312" w:cs="Times New Roman"/>
          <w:color w:val="000000"/>
          <w:sz w:val="32"/>
          <w:szCs w:val="32"/>
        </w:rPr>
      </w:pPr>
      <w:r>
        <w:rPr>
          <w:rFonts w:ascii="Times New Roman" w:hAnsi="Times New Roman" w:eastAsia="仿宋_GB2312" w:cs="Times New Roman"/>
          <w:b/>
          <w:color w:val="000000"/>
          <w:sz w:val="32"/>
          <w:szCs w:val="32"/>
        </w:rPr>
        <w:t>统筹兼顾，强化责任。</w:t>
      </w:r>
      <w:r>
        <w:rPr>
          <w:rFonts w:ascii="Times New Roman" w:hAnsi="Times New Roman" w:eastAsia="仿宋_GB2312" w:cs="Times New Roman"/>
          <w:color w:val="000000"/>
          <w:sz w:val="32"/>
          <w:szCs w:val="32"/>
        </w:rPr>
        <w:t>统筹全省可再生能源规划布局，增强系统思维，处理好局部和全局、当前和长远、重点和非重点的关系，掌握可再生能源发展节奏和步骤。明确发展目标，省、市、县三级各司其职，可再生能源消纳责任主体各负其责。</w:t>
      </w:r>
    </w:p>
    <w:p>
      <w:pPr>
        <w:adjustRightInd w:val="0"/>
        <w:snapToGrid w:val="0"/>
        <w:spacing w:beforeLines="0" w:afterLines="0" w:line="550" w:lineRule="exact"/>
        <w:ind w:firstLine="643" w:firstLineChars="200"/>
        <w:textAlignment w:val="center"/>
        <w:rPr>
          <w:rFonts w:ascii="Times New Roman" w:hAnsi="Times New Roman" w:eastAsia="楷体" w:cs="Times New Roman"/>
          <w:b/>
          <w:color w:val="000000"/>
          <w:sz w:val="32"/>
          <w:szCs w:val="32"/>
        </w:rPr>
      </w:pPr>
      <w:r>
        <w:rPr>
          <w:rFonts w:ascii="Times New Roman" w:hAnsi="Times New Roman" w:eastAsia="仿宋_GB2312" w:cs="Times New Roman"/>
          <w:b/>
          <w:color w:val="000000"/>
          <w:sz w:val="32"/>
          <w:szCs w:val="32"/>
        </w:rPr>
        <w:t>创新引领，系统推进。</w:t>
      </w:r>
      <w:r>
        <w:rPr>
          <w:rFonts w:ascii="Times New Roman" w:hAnsi="Times New Roman" w:eastAsia="仿宋_GB2312" w:cs="Times New Roman"/>
          <w:color w:val="000000"/>
          <w:sz w:val="32"/>
          <w:szCs w:val="32"/>
        </w:rPr>
        <w:t>突出创新第一动力作用，发挥数字经济优势，积极开展技术创新、产业创新、商业模式创新，推进可再生能源与数字技术、信息技术深度融合，提升可再生能源开发质量和效益，打造浙江省智慧能源示范区。</w:t>
      </w:r>
    </w:p>
    <w:p>
      <w:pPr>
        <w:pStyle w:val="9"/>
        <w:numPr>
          <w:ilvl w:val="0"/>
          <w:numId w:val="0"/>
        </w:numPr>
        <w:adjustRightInd w:val="0"/>
        <w:snapToGrid w:val="0"/>
        <w:spacing w:beforeLines="0" w:afterLines="0" w:line="550" w:lineRule="exact"/>
        <w:ind w:left="0" w:firstLine="641" w:firstLineChars="200"/>
        <w:jc w:val="both"/>
        <w:outlineLvl w:val="0"/>
        <w:rPr>
          <w:rFonts w:hint="default" w:ascii="Times New Roman" w:hAnsi="Times New Roman" w:eastAsia="楷体_GB2312" w:cs="Times New Roman"/>
          <w:b/>
          <w:color w:val="000000"/>
          <w:sz w:val="32"/>
          <w:szCs w:val="32"/>
        </w:rPr>
      </w:pPr>
      <w:bookmarkStart w:id="61" w:name="_Toc69378093"/>
      <w:r>
        <w:rPr>
          <w:rFonts w:hint="default" w:ascii="Times New Roman" w:hAnsi="Times New Roman" w:eastAsia="楷体_GB2312" w:cs="Times New Roman"/>
          <w:b/>
          <w:color w:val="000000"/>
          <w:sz w:val="32"/>
          <w:szCs w:val="32"/>
          <w:lang w:eastAsia="zh-CN"/>
        </w:rPr>
        <w:t>（二）</w:t>
      </w:r>
      <w:r>
        <w:rPr>
          <w:rFonts w:hint="default" w:ascii="Times New Roman" w:hAnsi="Times New Roman" w:eastAsia="楷体_GB2312" w:cs="Times New Roman"/>
          <w:b/>
          <w:color w:val="000000"/>
          <w:sz w:val="32"/>
          <w:szCs w:val="32"/>
        </w:rPr>
        <w:t>发展目标</w:t>
      </w:r>
      <w:bookmarkEnd w:id="61"/>
    </w:p>
    <w:p>
      <w:pPr>
        <w:snapToGrid w:val="0"/>
        <w:spacing w:beforeLines="0" w:afterLines="0" w:line="550" w:lineRule="exact"/>
        <w:ind w:firstLine="640" w:firstLineChars="200"/>
        <w:jc w:val="both"/>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大力发展风电、光伏，实施“风光倍增计划”；更好发挥以抽水蓄能为主的水电调节作用；因地制宜高质量发展生物质能、地热能、海洋能等。到2025年底，可再生能源装机超过5000万千瓦，装机占比达到36%以上。我省“十四五”主要可再生能源品种发展目标如下：</w:t>
      </w:r>
    </w:p>
    <w:p>
      <w:pPr>
        <w:adjustRightInd w:val="0"/>
        <w:snapToGrid w:val="0"/>
        <w:spacing w:beforeLines="0" w:afterLines="0" w:line="550" w:lineRule="exact"/>
        <w:ind w:firstLine="643" w:firstLineChars="200"/>
        <w:jc w:val="both"/>
        <w:textAlignment w:val="center"/>
        <w:rPr>
          <w:rFonts w:ascii="Times New Roman" w:hAnsi="Times New Roman" w:eastAsia="仿宋_GB2312" w:cs="Times New Roman"/>
          <w:b/>
          <w:color w:val="000000"/>
          <w:sz w:val="32"/>
          <w:szCs w:val="32"/>
        </w:rPr>
      </w:pPr>
      <w:r>
        <w:rPr>
          <w:rFonts w:ascii="Times New Roman" w:hAnsi="Times New Roman" w:eastAsia="仿宋_GB2312" w:cs="Times New Roman"/>
          <w:b/>
          <w:color w:val="000000"/>
          <w:sz w:val="32"/>
          <w:szCs w:val="32"/>
        </w:rPr>
        <w:t>1</w:t>
      </w:r>
      <w:r>
        <w:rPr>
          <w:rFonts w:hint="eastAsia" w:ascii="Times New Roman" w:hAnsi="Times New Roman" w:cs="Times New Roman"/>
          <w:b/>
          <w:color w:val="000000"/>
          <w:sz w:val="32"/>
          <w:szCs w:val="32"/>
          <w:lang w:eastAsia="zh-CN"/>
        </w:rPr>
        <w:t>．</w:t>
      </w:r>
      <w:r>
        <w:rPr>
          <w:rFonts w:ascii="Times New Roman" w:hAnsi="Times New Roman" w:eastAsia="仿宋_GB2312" w:cs="Times New Roman"/>
          <w:b/>
          <w:color w:val="000000"/>
          <w:sz w:val="32"/>
          <w:szCs w:val="32"/>
        </w:rPr>
        <w:t>光伏</w:t>
      </w:r>
    </w:p>
    <w:p>
      <w:pPr>
        <w:adjustRightInd w:val="0"/>
        <w:snapToGrid w:val="0"/>
        <w:spacing w:beforeLines="0" w:afterLines="0" w:line="550" w:lineRule="exact"/>
        <w:ind w:firstLine="640" w:firstLineChars="200"/>
        <w:jc w:val="both"/>
        <w:textAlignment w:val="center"/>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到“十四五”末，力争我省光伏装机达到2750万千瓦以上，新增装机在1200万千瓦以上，其中分布式光伏新增装机超过500万千瓦，集中式光伏新增装机超过700万千瓦。</w:t>
      </w:r>
    </w:p>
    <w:p>
      <w:pPr>
        <w:adjustRightInd w:val="0"/>
        <w:snapToGrid w:val="0"/>
        <w:spacing w:beforeLines="0" w:afterLines="0" w:line="550" w:lineRule="exact"/>
        <w:ind w:firstLine="643" w:firstLineChars="200"/>
        <w:jc w:val="both"/>
        <w:textAlignment w:val="center"/>
        <w:rPr>
          <w:rFonts w:ascii="Times New Roman" w:hAnsi="Times New Roman" w:eastAsia="仿宋_GB2312" w:cs="Times New Roman"/>
          <w:b/>
          <w:color w:val="000000"/>
          <w:sz w:val="32"/>
          <w:szCs w:val="32"/>
        </w:rPr>
      </w:pPr>
      <w:r>
        <w:rPr>
          <w:rFonts w:ascii="Times New Roman" w:hAnsi="Times New Roman" w:eastAsia="仿宋_GB2312" w:cs="Times New Roman"/>
          <w:b/>
          <w:color w:val="000000"/>
          <w:sz w:val="32"/>
          <w:szCs w:val="32"/>
        </w:rPr>
        <w:t>2</w:t>
      </w:r>
      <w:r>
        <w:rPr>
          <w:rFonts w:hint="eastAsia" w:ascii="Times New Roman" w:hAnsi="Times New Roman" w:cs="Times New Roman"/>
          <w:b/>
          <w:color w:val="000000"/>
          <w:sz w:val="32"/>
          <w:szCs w:val="32"/>
          <w:lang w:eastAsia="zh-CN"/>
        </w:rPr>
        <w:t>．</w:t>
      </w:r>
      <w:r>
        <w:rPr>
          <w:rFonts w:ascii="Times New Roman" w:hAnsi="Times New Roman" w:eastAsia="仿宋_GB2312" w:cs="Times New Roman"/>
          <w:b/>
          <w:color w:val="000000"/>
          <w:sz w:val="32"/>
          <w:szCs w:val="32"/>
        </w:rPr>
        <w:t>风电</w:t>
      </w:r>
    </w:p>
    <w:p>
      <w:pPr>
        <w:adjustRightInd w:val="0"/>
        <w:snapToGrid w:val="0"/>
        <w:spacing w:beforeLines="0" w:afterLines="0" w:line="550" w:lineRule="exact"/>
        <w:ind w:firstLine="640" w:firstLineChars="200"/>
        <w:jc w:val="both"/>
        <w:textAlignment w:val="center"/>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到“十四五”末，力争我省风电装机达到640万千瓦以上，新增装机在450万千瓦以上，主要为海上风电。</w:t>
      </w:r>
    </w:p>
    <w:p>
      <w:pPr>
        <w:adjustRightInd w:val="0"/>
        <w:snapToGrid w:val="0"/>
        <w:spacing w:beforeLines="0" w:afterLines="0" w:line="550" w:lineRule="exact"/>
        <w:ind w:firstLine="643" w:firstLineChars="200"/>
        <w:jc w:val="both"/>
        <w:textAlignment w:val="center"/>
        <w:rPr>
          <w:rFonts w:ascii="Times New Roman" w:hAnsi="Times New Roman" w:eastAsia="仿宋_GB2312" w:cs="Times New Roman"/>
          <w:b/>
          <w:color w:val="000000"/>
          <w:sz w:val="32"/>
          <w:szCs w:val="32"/>
        </w:rPr>
      </w:pPr>
      <w:r>
        <w:rPr>
          <w:rFonts w:ascii="Times New Roman" w:hAnsi="Times New Roman" w:eastAsia="仿宋_GB2312" w:cs="Times New Roman"/>
          <w:b/>
          <w:color w:val="000000"/>
          <w:sz w:val="32"/>
          <w:szCs w:val="32"/>
        </w:rPr>
        <w:t>3</w:t>
      </w:r>
      <w:r>
        <w:rPr>
          <w:rFonts w:hint="eastAsia" w:ascii="Times New Roman" w:hAnsi="Times New Roman" w:cs="Times New Roman"/>
          <w:b/>
          <w:color w:val="000000"/>
          <w:sz w:val="32"/>
          <w:szCs w:val="32"/>
          <w:lang w:eastAsia="zh-CN"/>
        </w:rPr>
        <w:t>．</w:t>
      </w:r>
      <w:r>
        <w:rPr>
          <w:rFonts w:ascii="Times New Roman" w:hAnsi="Times New Roman" w:eastAsia="仿宋_GB2312" w:cs="Times New Roman"/>
          <w:b/>
          <w:color w:val="000000"/>
          <w:sz w:val="32"/>
          <w:szCs w:val="32"/>
        </w:rPr>
        <w:t>生物质</w:t>
      </w:r>
    </w:p>
    <w:p>
      <w:pPr>
        <w:adjustRightInd w:val="0"/>
        <w:snapToGrid w:val="0"/>
        <w:spacing w:beforeLines="0" w:afterLines="0" w:line="550" w:lineRule="exact"/>
        <w:ind w:right="-522" w:rightChars="-163" w:firstLine="640" w:firstLineChars="200"/>
        <w:jc w:val="both"/>
        <w:textAlignment w:val="center"/>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到“十四五”末，力争我省生物质装机达到300万千瓦以上，新增装机在60万千瓦以上，其中新增装机以垃圾发电为主。</w:t>
      </w:r>
    </w:p>
    <w:p>
      <w:pPr>
        <w:adjustRightInd w:val="0"/>
        <w:snapToGrid w:val="0"/>
        <w:spacing w:beforeLines="0" w:afterLines="0" w:line="550" w:lineRule="exact"/>
        <w:ind w:firstLine="643" w:firstLineChars="200"/>
        <w:textAlignment w:val="center"/>
        <w:rPr>
          <w:rFonts w:ascii="Times New Roman" w:hAnsi="Times New Roman" w:eastAsia="仿宋_GB2312" w:cs="Times New Roman"/>
          <w:b/>
          <w:color w:val="000000"/>
          <w:sz w:val="32"/>
          <w:szCs w:val="32"/>
        </w:rPr>
      </w:pPr>
      <w:r>
        <w:rPr>
          <w:rFonts w:ascii="Times New Roman" w:hAnsi="Times New Roman" w:eastAsia="仿宋_GB2312" w:cs="Times New Roman"/>
          <w:b/>
          <w:color w:val="000000"/>
          <w:sz w:val="32"/>
          <w:szCs w:val="32"/>
        </w:rPr>
        <w:t>4</w:t>
      </w:r>
      <w:r>
        <w:rPr>
          <w:rFonts w:hint="eastAsia" w:ascii="Times New Roman" w:hAnsi="Times New Roman" w:cs="Times New Roman"/>
          <w:b/>
          <w:color w:val="000000"/>
          <w:sz w:val="32"/>
          <w:szCs w:val="32"/>
          <w:lang w:eastAsia="zh-CN"/>
        </w:rPr>
        <w:t>．</w:t>
      </w:r>
      <w:r>
        <w:rPr>
          <w:rFonts w:ascii="Times New Roman" w:hAnsi="Times New Roman" w:eastAsia="仿宋_GB2312" w:cs="Times New Roman"/>
          <w:b/>
          <w:color w:val="000000"/>
          <w:sz w:val="32"/>
          <w:szCs w:val="32"/>
        </w:rPr>
        <w:t>水电</w:t>
      </w:r>
    </w:p>
    <w:p>
      <w:pPr>
        <w:adjustRightInd w:val="0"/>
        <w:snapToGrid w:val="0"/>
        <w:spacing w:beforeLines="0" w:afterLines="0" w:line="550" w:lineRule="exact"/>
        <w:ind w:firstLine="640" w:firstLineChars="200"/>
        <w:textAlignment w:val="center"/>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到“十四五”末，力争我省水电装机达到1500万千瓦以上，新增装机在350万千瓦以上，其中新增装机以抽水蓄能电站为主。</w:t>
      </w:r>
    </w:p>
    <w:p>
      <w:pPr>
        <w:snapToGrid w:val="0"/>
        <w:spacing w:beforeLines="0" w:afterLines="0" w:line="579" w:lineRule="exact"/>
        <w:ind w:firstLine="0" w:firstLineChars="0"/>
        <w:jc w:val="center"/>
        <w:rPr>
          <w:rFonts w:hint="default" w:ascii="Times New Roman" w:hAnsi="Times New Roman" w:eastAsia="黑体" w:cs="Times New Roman"/>
          <w:b w:val="0"/>
          <w:bCs w:val="0"/>
          <w:color w:val="000000"/>
          <w:sz w:val="28"/>
          <w:szCs w:val="28"/>
        </w:rPr>
      </w:pPr>
      <w:r>
        <w:rPr>
          <w:rFonts w:hint="default" w:ascii="Times New Roman" w:hAnsi="Times New Roman" w:eastAsia="黑体" w:cs="Times New Roman"/>
          <w:b w:val="0"/>
          <w:bCs w:val="0"/>
          <w:color w:val="000000"/>
          <w:sz w:val="28"/>
          <w:szCs w:val="28"/>
        </w:rPr>
        <w:t>表2</w:t>
      </w:r>
      <w:r>
        <w:rPr>
          <w:rFonts w:hint="default" w:ascii="Times New Roman" w:hAnsi="Times New Roman" w:eastAsia="黑体" w:cs="Times New Roman"/>
          <w:b w:val="0"/>
          <w:bCs w:val="0"/>
          <w:color w:val="000000"/>
          <w:sz w:val="28"/>
          <w:szCs w:val="28"/>
          <w:lang w:val="en-US" w:eastAsia="zh-CN"/>
        </w:rPr>
        <w:t xml:space="preserve"> </w:t>
      </w:r>
      <w:r>
        <w:rPr>
          <w:rFonts w:hint="default" w:ascii="Times New Roman" w:hAnsi="Times New Roman" w:eastAsia="黑体" w:cs="Times New Roman"/>
          <w:b w:val="0"/>
          <w:bCs w:val="0"/>
          <w:color w:val="000000"/>
          <w:sz w:val="28"/>
          <w:szCs w:val="28"/>
        </w:rPr>
        <w:t>浙江省“十四五”主要可再生能源品种发展目标</w:t>
      </w:r>
    </w:p>
    <w:p>
      <w:pPr>
        <w:adjustRightInd w:val="0"/>
        <w:snapToGrid w:val="0"/>
        <w:spacing w:beforeLines="0" w:afterLines="0" w:line="599" w:lineRule="exact"/>
        <w:ind w:firstLine="480" w:firstLineChars="200"/>
        <w:jc w:val="left"/>
        <w:textAlignment w:val="center"/>
        <w:rPr>
          <w:rFonts w:ascii="Times New Roman" w:hAnsi="Times New Roman" w:eastAsia="楷体_GB2312" w:cs="Times New Roman"/>
          <w:color w:val="000000"/>
          <w:sz w:val="28"/>
          <w:szCs w:val="28"/>
        </w:rPr>
      </w:pPr>
      <w:r>
        <w:rPr>
          <w:rFonts w:ascii="Times New Roman" w:hAnsi="Times New Roman" w:eastAsia="楷体_GB2312" w:cs="Times New Roman"/>
          <w:color w:val="000000"/>
          <w:sz w:val="24"/>
          <w:szCs w:val="28"/>
        </w:rPr>
        <w:t xml:space="preserve">  </w:t>
      </w:r>
      <w:r>
        <w:rPr>
          <w:rFonts w:ascii="Times New Roman" w:hAnsi="Times New Roman" w:eastAsia="楷体_GB2312" w:cs="Times New Roman"/>
          <w:color w:val="000000"/>
          <w:sz w:val="22"/>
          <w:szCs w:val="24"/>
        </w:rPr>
        <w:t xml:space="preserve">                                      </w:t>
      </w:r>
      <w:r>
        <w:rPr>
          <w:rFonts w:ascii="Times New Roman" w:hAnsi="Times New Roman" w:eastAsia="楷体_GB2312" w:cs="Times New Roman"/>
          <w:color w:val="000000"/>
          <w:sz w:val="28"/>
          <w:szCs w:val="28"/>
        </w:rPr>
        <w:t xml:space="preserve">          </w:t>
      </w:r>
      <w:r>
        <w:rPr>
          <w:rFonts w:hint="eastAsia" w:ascii="Times New Roman" w:hAnsi="Times New Roman" w:eastAsia="楷体_GB2312" w:cs="Times New Roman"/>
          <w:color w:val="000000"/>
          <w:sz w:val="28"/>
          <w:szCs w:val="28"/>
          <w:lang w:val="en-US" w:eastAsia="zh-CN"/>
        </w:rPr>
        <w:t xml:space="preserve">      </w:t>
      </w:r>
      <w:r>
        <w:rPr>
          <w:rFonts w:ascii="Times New Roman" w:hAnsi="Times New Roman" w:eastAsia="楷体_GB2312" w:cs="Times New Roman"/>
          <w:color w:val="000000"/>
          <w:sz w:val="28"/>
          <w:szCs w:val="28"/>
        </w:rPr>
        <w:t xml:space="preserve"> 单位：万千瓦</w:t>
      </w:r>
    </w:p>
    <w:tbl>
      <w:tblPr>
        <w:tblStyle w:val="5"/>
        <w:tblW w:w="907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9"/>
        <w:gridCol w:w="1551"/>
        <w:gridCol w:w="1530"/>
        <w:gridCol w:w="21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0" w:hRule="atLeast"/>
          <w:tblHeader/>
          <w:jc w:val="center"/>
        </w:trPr>
        <w:tc>
          <w:tcPr>
            <w:tcW w:w="3869" w:type="dxa"/>
            <w:vAlign w:val="center"/>
          </w:tcPr>
          <w:p>
            <w:pPr>
              <w:widowControl/>
              <w:adjustRightInd w:val="0"/>
              <w:snapToGrid w:val="0"/>
              <w:spacing w:line="360" w:lineRule="exact"/>
              <w:jc w:val="center"/>
              <w:rPr>
                <w:rFonts w:hint="default" w:ascii="Times New Roman" w:hAnsi="Times New Roman" w:eastAsia="黑体" w:cs="Times New Roman"/>
                <w:b w:val="0"/>
                <w:bCs/>
                <w:kern w:val="0"/>
                <w:sz w:val="24"/>
                <w:szCs w:val="24"/>
              </w:rPr>
            </w:pPr>
            <w:r>
              <w:rPr>
                <w:rFonts w:hint="default" w:ascii="Times New Roman" w:hAnsi="Times New Roman" w:eastAsia="黑体" w:cs="Times New Roman"/>
                <w:b w:val="0"/>
                <w:bCs/>
                <w:kern w:val="0"/>
                <w:sz w:val="24"/>
                <w:szCs w:val="24"/>
              </w:rPr>
              <w:t>可再生能源种类</w:t>
            </w:r>
          </w:p>
        </w:tc>
        <w:tc>
          <w:tcPr>
            <w:tcW w:w="1551" w:type="dxa"/>
            <w:vAlign w:val="center"/>
          </w:tcPr>
          <w:p>
            <w:pPr>
              <w:widowControl/>
              <w:adjustRightInd w:val="0"/>
              <w:snapToGrid w:val="0"/>
              <w:spacing w:line="360" w:lineRule="exact"/>
              <w:jc w:val="center"/>
              <w:rPr>
                <w:rFonts w:hint="default" w:ascii="Times New Roman" w:hAnsi="Times New Roman" w:eastAsia="黑体" w:cs="Times New Roman"/>
                <w:b w:val="0"/>
                <w:bCs/>
                <w:kern w:val="0"/>
                <w:sz w:val="24"/>
                <w:szCs w:val="24"/>
              </w:rPr>
            </w:pPr>
            <w:r>
              <w:rPr>
                <w:rFonts w:hint="default" w:ascii="Times New Roman" w:hAnsi="Times New Roman" w:eastAsia="黑体" w:cs="Times New Roman"/>
                <w:b w:val="0"/>
                <w:bCs/>
                <w:kern w:val="0"/>
                <w:sz w:val="24"/>
                <w:szCs w:val="24"/>
              </w:rPr>
              <w:t>2020年</w:t>
            </w:r>
          </w:p>
        </w:tc>
        <w:tc>
          <w:tcPr>
            <w:tcW w:w="1530" w:type="dxa"/>
            <w:vAlign w:val="center"/>
          </w:tcPr>
          <w:p>
            <w:pPr>
              <w:widowControl/>
              <w:adjustRightInd w:val="0"/>
              <w:snapToGrid w:val="0"/>
              <w:spacing w:line="360" w:lineRule="exact"/>
              <w:jc w:val="center"/>
              <w:rPr>
                <w:rFonts w:hint="default" w:ascii="Times New Roman" w:hAnsi="Times New Roman" w:eastAsia="黑体" w:cs="Times New Roman"/>
                <w:b w:val="0"/>
                <w:bCs/>
                <w:kern w:val="0"/>
                <w:sz w:val="24"/>
                <w:szCs w:val="24"/>
              </w:rPr>
            </w:pPr>
            <w:r>
              <w:rPr>
                <w:rFonts w:hint="default" w:ascii="Times New Roman" w:hAnsi="Times New Roman" w:eastAsia="黑体" w:cs="Times New Roman"/>
                <w:b w:val="0"/>
                <w:bCs/>
                <w:kern w:val="0"/>
                <w:sz w:val="24"/>
                <w:szCs w:val="24"/>
              </w:rPr>
              <w:t>2025年</w:t>
            </w:r>
          </w:p>
        </w:tc>
        <w:tc>
          <w:tcPr>
            <w:tcW w:w="2121" w:type="dxa"/>
            <w:vAlign w:val="center"/>
          </w:tcPr>
          <w:p>
            <w:pPr>
              <w:widowControl/>
              <w:adjustRightInd w:val="0"/>
              <w:snapToGrid w:val="0"/>
              <w:spacing w:line="360" w:lineRule="exact"/>
              <w:jc w:val="center"/>
              <w:rPr>
                <w:rFonts w:hint="default" w:ascii="Times New Roman" w:hAnsi="Times New Roman" w:eastAsia="黑体" w:cs="Times New Roman"/>
                <w:b w:val="0"/>
                <w:bCs/>
                <w:kern w:val="0"/>
                <w:sz w:val="24"/>
                <w:szCs w:val="24"/>
              </w:rPr>
            </w:pPr>
            <w:r>
              <w:rPr>
                <w:rFonts w:hint="default" w:ascii="Times New Roman" w:hAnsi="Times New Roman" w:eastAsia="黑体" w:cs="Times New Roman"/>
                <w:b w:val="0"/>
                <w:bCs/>
                <w:kern w:val="0"/>
                <w:sz w:val="24"/>
                <w:szCs w:val="24"/>
              </w:rPr>
              <w:t>“十四五”增量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0" w:hRule="atLeast"/>
          <w:jc w:val="center"/>
        </w:trPr>
        <w:tc>
          <w:tcPr>
            <w:tcW w:w="3869" w:type="dxa"/>
            <w:vAlign w:val="center"/>
          </w:tcPr>
          <w:p>
            <w:pPr>
              <w:widowControl/>
              <w:adjustRightInd w:val="0"/>
              <w:snapToGrid w:val="0"/>
              <w:spacing w:line="360" w:lineRule="exact"/>
              <w:ind w:firstLine="0" w:firstLineChars="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光 伏</w:t>
            </w:r>
          </w:p>
        </w:tc>
        <w:tc>
          <w:tcPr>
            <w:tcW w:w="1551" w:type="dxa"/>
            <w:vAlign w:val="center"/>
          </w:tcPr>
          <w:p>
            <w:pPr>
              <w:adjustRightInd w:val="0"/>
              <w:snapToGrid w:val="0"/>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1517</w:t>
            </w:r>
          </w:p>
        </w:tc>
        <w:tc>
          <w:tcPr>
            <w:tcW w:w="1530" w:type="dxa"/>
            <w:vAlign w:val="center"/>
          </w:tcPr>
          <w:p>
            <w:pPr>
              <w:adjustRightInd w:val="0"/>
              <w:snapToGrid w:val="0"/>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2750</w:t>
            </w:r>
          </w:p>
        </w:tc>
        <w:tc>
          <w:tcPr>
            <w:tcW w:w="2121" w:type="dxa"/>
            <w:vAlign w:val="center"/>
          </w:tcPr>
          <w:p>
            <w:pPr>
              <w:adjustRightInd w:val="0"/>
              <w:snapToGrid w:val="0"/>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1233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0" w:hRule="atLeast"/>
          <w:jc w:val="center"/>
        </w:trPr>
        <w:tc>
          <w:tcPr>
            <w:tcW w:w="3869" w:type="dxa"/>
            <w:vAlign w:val="center"/>
          </w:tcPr>
          <w:p>
            <w:pPr>
              <w:widowControl/>
              <w:adjustRightInd w:val="0"/>
              <w:snapToGrid w:val="0"/>
              <w:spacing w:line="360" w:lineRule="exact"/>
              <w:ind w:firstLine="0" w:firstLineChars="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风 电</w:t>
            </w:r>
          </w:p>
        </w:tc>
        <w:tc>
          <w:tcPr>
            <w:tcW w:w="1551" w:type="dxa"/>
            <w:vAlign w:val="center"/>
          </w:tcPr>
          <w:p>
            <w:pPr>
              <w:widowControl/>
              <w:adjustRightInd w:val="0"/>
              <w:snapToGrid w:val="0"/>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186</w:t>
            </w:r>
          </w:p>
        </w:tc>
        <w:tc>
          <w:tcPr>
            <w:tcW w:w="1530" w:type="dxa"/>
            <w:vAlign w:val="center"/>
          </w:tcPr>
          <w:p>
            <w:pPr>
              <w:adjustRightInd w:val="0"/>
              <w:snapToGrid w:val="0"/>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641</w:t>
            </w:r>
          </w:p>
        </w:tc>
        <w:tc>
          <w:tcPr>
            <w:tcW w:w="2121" w:type="dxa"/>
            <w:vAlign w:val="center"/>
          </w:tcPr>
          <w:p>
            <w:pPr>
              <w:adjustRightInd w:val="0"/>
              <w:snapToGrid w:val="0"/>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455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0" w:hRule="atLeast"/>
          <w:jc w:val="center"/>
        </w:trPr>
        <w:tc>
          <w:tcPr>
            <w:tcW w:w="3869" w:type="dxa"/>
            <w:vAlign w:val="center"/>
          </w:tcPr>
          <w:p>
            <w:pPr>
              <w:widowControl/>
              <w:adjustRightInd w:val="0"/>
              <w:snapToGrid w:val="0"/>
              <w:spacing w:line="360" w:lineRule="exact"/>
              <w:ind w:firstLine="0" w:firstLineChars="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生物质</w:t>
            </w:r>
          </w:p>
        </w:tc>
        <w:tc>
          <w:tcPr>
            <w:tcW w:w="1551" w:type="dxa"/>
            <w:vAlign w:val="center"/>
          </w:tcPr>
          <w:p>
            <w:pPr>
              <w:widowControl/>
              <w:adjustRightInd w:val="0"/>
              <w:snapToGrid w:val="0"/>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240</w:t>
            </w:r>
          </w:p>
        </w:tc>
        <w:tc>
          <w:tcPr>
            <w:tcW w:w="1530" w:type="dxa"/>
            <w:vAlign w:val="center"/>
          </w:tcPr>
          <w:p>
            <w:pPr>
              <w:adjustRightInd w:val="0"/>
              <w:snapToGrid w:val="0"/>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300</w:t>
            </w:r>
          </w:p>
        </w:tc>
        <w:tc>
          <w:tcPr>
            <w:tcW w:w="2121" w:type="dxa"/>
            <w:vAlign w:val="center"/>
          </w:tcPr>
          <w:p>
            <w:pPr>
              <w:adjustRightInd w:val="0"/>
              <w:snapToGrid w:val="0"/>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0" w:hRule="atLeast"/>
          <w:jc w:val="center"/>
        </w:trPr>
        <w:tc>
          <w:tcPr>
            <w:tcW w:w="3869" w:type="dxa"/>
            <w:vAlign w:val="center"/>
          </w:tcPr>
          <w:p>
            <w:pPr>
              <w:widowControl/>
              <w:adjustRightInd w:val="0"/>
              <w:snapToGrid w:val="0"/>
              <w:spacing w:line="360" w:lineRule="exact"/>
              <w:ind w:firstLine="0" w:firstLineChars="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水电</w:t>
            </w:r>
          </w:p>
        </w:tc>
        <w:tc>
          <w:tcPr>
            <w:tcW w:w="1551" w:type="dxa"/>
            <w:vAlign w:val="center"/>
          </w:tcPr>
          <w:p>
            <w:pPr>
              <w:widowControl/>
              <w:adjustRightInd w:val="0"/>
              <w:snapToGrid w:val="0"/>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1171</w:t>
            </w:r>
          </w:p>
        </w:tc>
        <w:tc>
          <w:tcPr>
            <w:tcW w:w="1530" w:type="dxa"/>
            <w:vAlign w:val="center"/>
          </w:tcPr>
          <w:p>
            <w:pPr>
              <w:adjustRightInd w:val="0"/>
              <w:snapToGrid w:val="0"/>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1526</w:t>
            </w:r>
          </w:p>
        </w:tc>
        <w:tc>
          <w:tcPr>
            <w:tcW w:w="2121" w:type="dxa"/>
            <w:vAlign w:val="center"/>
          </w:tcPr>
          <w:p>
            <w:pPr>
              <w:adjustRightInd w:val="0"/>
              <w:snapToGrid w:val="0"/>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355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0" w:hRule="atLeast"/>
          <w:jc w:val="center"/>
        </w:trPr>
        <w:tc>
          <w:tcPr>
            <w:tcW w:w="3869" w:type="dxa"/>
            <w:vAlign w:val="center"/>
          </w:tcPr>
          <w:p>
            <w:pPr>
              <w:widowControl/>
              <w:adjustRightInd w:val="0"/>
              <w:snapToGrid w:val="0"/>
              <w:spacing w:line="360" w:lineRule="exact"/>
              <w:ind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其中，常规水电</w:t>
            </w:r>
          </w:p>
        </w:tc>
        <w:tc>
          <w:tcPr>
            <w:tcW w:w="1551" w:type="dxa"/>
            <w:vAlign w:val="center"/>
          </w:tcPr>
          <w:p>
            <w:pPr>
              <w:widowControl/>
              <w:adjustRightInd w:val="0"/>
              <w:snapToGrid w:val="0"/>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713</w:t>
            </w:r>
          </w:p>
        </w:tc>
        <w:tc>
          <w:tcPr>
            <w:tcW w:w="1530" w:type="dxa"/>
            <w:vAlign w:val="center"/>
          </w:tcPr>
          <w:p>
            <w:pPr>
              <w:adjustRightInd w:val="0"/>
              <w:snapToGrid w:val="0"/>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728</w:t>
            </w:r>
          </w:p>
        </w:tc>
        <w:tc>
          <w:tcPr>
            <w:tcW w:w="2121" w:type="dxa"/>
            <w:vAlign w:val="center"/>
          </w:tcPr>
          <w:p>
            <w:pPr>
              <w:adjustRightInd w:val="0"/>
              <w:snapToGrid w:val="0"/>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0" w:hRule="atLeast"/>
          <w:jc w:val="center"/>
        </w:trPr>
        <w:tc>
          <w:tcPr>
            <w:tcW w:w="3869" w:type="dxa"/>
            <w:vAlign w:val="center"/>
          </w:tcPr>
          <w:p>
            <w:pPr>
              <w:widowControl/>
              <w:adjustRightInd w:val="0"/>
              <w:snapToGrid w:val="0"/>
              <w:spacing w:line="360" w:lineRule="exact"/>
              <w:ind w:firstLine="0" w:firstLineChars="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抽水蓄能</w:t>
            </w:r>
          </w:p>
        </w:tc>
        <w:tc>
          <w:tcPr>
            <w:tcW w:w="1551" w:type="dxa"/>
            <w:vAlign w:val="center"/>
          </w:tcPr>
          <w:p>
            <w:pPr>
              <w:widowControl/>
              <w:adjustRightInd w:val="0"/>
              <w:snapToGrid w:val="0"/>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458</w:t>
            </w:r>
          </w:p>
        </w:tc>
        <w:tc>
          <w:tcPr>
            <w:tcW w:w="1530" w:type="dxa"/>
            <w:vAlign w:val="center"/>
          </w:tcPr>
          <w:p>
            <w:pPr>
              <w:adjustRightInd w:val="0"/>
              <w:snapToGrid w:val="0"/>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798</w:t>
            </w:r>
          </w:p>
        </w:tc>
        <w:tc>
          <w:tcPr>
            <w:tcW w:w="2121" w:type="dxa"/>
            <w:vAlign w:val="center"/>
          </w:tcPr>
          <w:p>
            <w:pPr>
              <w:adjustRightInd w:val="0"/>
              <w:snapToGrid w:val="0"/>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340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0" w:hRule="atLeast"/>
          <w:jc w:val="center"/>
        </w:trPr>
        <w:tc>
          <w:tcPr>
            <w:tcW w:w="3869" w:type="dxa"/>
            <w:vAlign w:val="center"/>
          </w:tcPr>
          <w:p>
            <w:pPr>
              <w:widowControl/>
              <w:adjustRightInd w:val="0"/>
              <w:snapToGrid w:val="0"/>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合计</w:t>
            </w:r>
          </w:p>
        </w:tc>
        <w:tc>
          <w:tcPr>
            <w:tcW w:w="1551" w:type="dxa"/>
            <w:vAlign w:val="center"/>
          </w:tcPr>
          <w:p>
            <w:pPr>
              <w:adjustRightInd w:val="0"/>
              <w:snapToGrid w:val="0"/>
              <w:spacing w:line="360" w:lineRule="exact"/>
              <w:jc w:val="center"/>
              <w:rPr>
                <w:rFonts w:hint="default" w:ascii="Times New Roman" w:hAnsi="Times New Roman" w:eastAsia="仿宋_GB2312" w:cs="Times New Roman"/>
                <w:kern w:val="0"/>
                <w:sz w:val="24"/>
                <w:szCs w:val="24"/>
                <w:lang w:eastAsia="zh-CN"/>
              </w:rPr>
            </w:pPr>
            <w:r>
              <w:rPr>
                <w:rFonts w:hint="default" w:ascii="Times New Roman" w:hAnsi="Times New Roman" w:eastAsia="仿宋_GB2312" w:cs="Times New Roman"/>
                <w:kern w:val="0"/>
                <w:sz w:val="24"/>
                <w:szCs w:val="24"/>
              </w:rPr>
              <w:t>311</w:t>
            </w:r>
            <w:r>
              <w:rPr>
                <w:rFonts w:hint="default" w:ascii="Times New Roman" w:hAnsi="Times New Roman" w:cs="Times New Roman"/>
                <w:kern w:val="0"/>
                <w:sz w:val="24"/>
                <w:szCs w:val="24"/>
                <w:lang w:val="en-US" w:eastAsia="zh-CN"/>
              </w:rPr>
              <w:t>4</w:t>
            </w:r>
          </w:p>
        </w:tc>
        <w:tc>
          <w:tcPr>
            <w:tcW w:w="1530" w:type="dxa"/>
            <w:vAlign w:val="center"/>
          </w:tcPr>
          <w:p>
            <w:pPr>
              <w:adjustRightInd w:val="0"/>
              <w:snapToGrid w:val="0"/>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5217</w:t>
            </w:r>
          </w:p>
        </w:tc>
        <w:tc>
          <w:tcPr>
            <w:tcW w:w="2121" w:type="dxa"/>
            <w:vAlign w:val="center"/>
          </w:tcPr>
          <w:p>
            <w:pPr>
              <w:adjustRightInd w:val="0"/>
              <w:snapToGrid w:val="0"/>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2103</w:t>
            </w:r>
          </w:p>
        </w:tc>
      </w:tr>
    </w:tbl>
    <w:p>
      <w:pPr>
        <w:pStyle w:val="9"/>
        <w:numPr>
          <w:ilvl w:val="0"/>
          <w:numId w:val="0"/>
        </w:numPr>
        <w:adjustRightInd w:val="0"/>
        <w:snapToGrid w:val="0"/>
        <w:spacing w:beforeLines="0" w:afterLines="0" w:line="630" w:lineRule="exact"/>
        <w:ind w:left="0" w:firstLine="641" w:firstLineChars="200"/>
        <w:jc w:val="left"/>
        <w:outlineLvl w:val="0"/>
        <w:rPr>
          <w:rFonts w:ascii="Times New Roman" w:hAnsi="Times New Roman" w:eastAsia="楷体_GB2312" w:cs="Times New Roman"/>
          <w:b/>
          <w:color w:val="000000"/>
          <w:sz w:val="32"/>
          <w:szCs w:val="32"/>
        </w:rPr>
      </w:pPr>
      <w:bookmarkStart w:id="62" w:name="_Toc69378094"/>
      <w:r>
        <w:rPr>
          <w:rFonts w:hint="default" w:ascii="Times New Roman" w:hAnsi="Times New Roman" w:eastAsia="楷体_GB2312" w:cs="Times New Roman"/>
          <w:b/>
          <w:color w:val="000000"/>
          <w:sz w:val="32"/>
          <w:szCs w:val="32"/>
          <w:lang w:eastAsia="zh-CN"/>
        </w:rPr>
        <w:t>（三）</w:t>
      </w:r>
      <w:r>
        <w:rPr>
          <w:rFonts w:ascii="Times New Roman" w:hAnsi="Times New Roman" w:eastAsia="楷体_GB2312" w:cs="Times New Roman"/>
          <w:b/>
          <w:color w:val="000000"/>
          <w:sz w:val="32"/>
          <w:szCs w:val="32"/>
        </w:rPr>
        <w:t>各地市发展目标</w:t>
      </w:r>
      <w:bookmarkEnd w:id="62"/>
    </w:p>
    <w:p>
      <w:pPr>
        <w:tabs>
          <w:tab w:val="left" w:pos="8820"/>
        </w:tabs>
        <w:adjustRightInd w:val="0"/>
        <w:snapToGrid w:val="0"/>
        <w:spacing w:beforeLines="0" w:afterLines="0" w:line="630" w:lineRule="exact"/>
        <w:ind w:right="-522" w:rightChars="-163" w:firstLine="640" w:firstLineChars="200"/>
        <w:textAlignment w:val="center"/>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结合我省可再生能源资源禀赋和发展实际情况，“十四五”期间我省将重点发展海上风电、光伏及抽水蓄能，着力打造华东抽水蓄能基地和海上风电基地，同时因地制宜推广风光水储一体化示范项目。为提高各地市发展可再生能源的积极性，全面均衡发展，根据我省“十四五”发展目标并考虑一定预留，现将各地市“十四五”海上风电和光伏发展目标进行明确，详见表3和表4。</w:t>
      </w:r>
    </w:p>
    <w:p>
      <w:pPr>
        <w:snapToGrid w:val="0"/>
        <w:spacing w:beforeLines="0" w:afterLines="0" w:line="579" w:lineRule="exact"/>
        <w:jc w:val="center"/>
        <w:rPr>
          <w:rFonts w:hint="default" w:ascii="Times New Roman" w:hAnsi="Times New Roman" w:eastAsia="黑体" w:cs="Times New Roman"/>
          <w:b w:val="0"/>
          <w:bCs w:val="0"/>
          <w:color w:val="000000"/>
          <w:sz w:val="28"/>
          <w:szCs w:val="28"/>
        </w:rPr>
      </w:pPr>
      <w:r>
        <w:rPr>
          <w:rFonts w:hint="default" w:ascii="Times New Roman" w:hAnsi="Times New Roman" w:eastAsia="黑体" w:cs="Times New Roman"/>
          <w:b w:val="0"/>
          <w:bCs w:val="0"/>
          <w:color w:val="000000"/>
          <w:sz w:val="28"/>
          <w:szCs w:val="28"/>
        </w:rPr>
        <w:t xml:space="preserve">表3 </w:t>
      </w:r>
      <w:r>
        <w:rPr>
          <w:rFonts w:hint="default" w:ascii="Times New Roman" w:hAnsi="Times New Roman" w:eastAsia="黑体" w:cs="Times New Roman"/>
          <w:b w:val="0"/>
          <w:bCs w:val="0"/>
          <w:color w:val="000000"/>
          <w:sz w:val="28"/>
          <w:szCs w:val="28"/>
          <w:lang w:val="en-US" w:eastAsia="zh-CN"/>
        </w:rPr>
        <w:t xml:space="preserve">  </w:t>
      </w:r>
      <w:r>
        <w:rPr>
          <w:rFonts w:hint="default" w:ascii="Times New Roman" w:hAnsi="Times New Roman" w:eastAsia="黑体" w:cs="Times New Roman"/>
          <w:b w:val="0"/>
          <w:bCs w:val="0"/>
          <w:color w:val="000000"/>
          <w:sz w:val="28"/>
          <w:szCs w:val="28"/>
        </w:rPr>
        <w:t>浙江省各地市“十四五”海上风电发展目标</w:t>
      </w:r>
    </w:p>
    <w:p>
      <w:pPr>
        <w:adjustRightInd w:val="0"/>
        <w:snapToGrid w:val="0"/>
        <w:spacing w:beforeLines="0" w:afterLines="0" w:line="579" w:lineRule="exact"/>
        <w:ind w:firstLine="480" w:firstLineChars="200"/>
        <w:jc w:val="left"/>
        <w:textAlignment w:val="center"/>
        <w:rPr>
          <w:rFonts w:hint="eastAsia" w:ascii="Times New Roman" w:hAnsi="Times New Roman" w:eastAsia="楷体_GB2312" w:cs="Times New Roman"/>
          <w:color w:val="000000"/>
          <w:sz w:val="28"/>
          <w:szCs w:val="28"/>
        </w:rPr>
      </w:pPr>
      <w:r>
        <w:rPr>
          <w:rFonts w:ascii="Times New Roman" w:hAnsi="Times New Roman" w:eastAsia="楷体_GB2312" w:cs="Times New Roman"/>
          <w:color w:val="000000"/>
          <w:sz w:val="24"/>
          <w:szCs w:val="28"/>
        </w:rPr>
        <w:t xml:space="preserve"> </w:t>
      </w:r>
      <w:r>
        <w:rPr>
          <w:rFonts w:ascii="Times New Roman" w:hAnsi="Times New Roman" w:eastAsia="楷体_GB2312" w:cs="Times New Roman"/>
          <w:color w:val="000000"/>
          <w:sz w:val="22"/>
          <w:szCs w:val="24"/>
        </w:rPr>
        <w:t xml:space="preserve">                                             </w:t>
      </w:r>
      <w:r>
        <w:rPr>
          <w:rFonts w:hint="eastAsia" w:ascii="Times New Roman" w:hAnsi="Times New Roman" w:eastAsia="楷体_GB2312" w:cs="Times New Roman"/>
          <w:color w:val="000000"/>
          <w:sz w:val="22"/>
          <w:szCs w:val="24"/>
          <w:lang w:val="en-US" w:eastAsia="zh-CN"/>
        </w:rPr>
        <w:t xml:space="preserve">          </w:t>
      </w:r>
      <w:r>
        <w:rPr>
          <w:rFonts w:hint="eastAsia" w:ascii="Times New Roman" w:hAnsi="Times New Roman" w:eastAsia="楷体_GB2312" w:cs="Times New Roman"/>
          <w:color w:val="000000"/>
          <w:sz w:val="28"/>
          <w:szCs w:val="28"/>
          <w:lang w:val="en-US" w:eastAsia="zh-CN"/>
        </w:rPr>
        <w:t xml:space="preserve">     </w:t>
      </w:r>
      <w:r>
        <w:rPr>
          <w:rFonts w:hint="eastAsia" w:ascii="Times New Roman" w:hAnsi="Times New Roman" w:eastAsia="楷体_GB2312" w:cs="Times New Roman"/>
          <w:color w:val="000000"/>
          <w:sz w:val="28"/>
          <w:szCs w:val="28"/>
        </w:rPr>
        <w:t>单位：万千瓦</w:t>
      </w:r>
    </w:p>
    <w:tbl>
      <w:tblPr>
        <w:tblStyle w:val="6"/>
        <w:tblW w:w="907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977"/>
        <w:gridCol w:w="1618"/>
        <w:gridCol w:w="2450"/>
        <w:gridCol w:w="32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0" w:hRule="atLeast"/>
          <w:jc w:val="center"/>
        </w:trPr>
        <w:tc>
          <w:tcPr>
            <w:tcW w:w="800" w:type="dxa"/>
            <w:vAlign w:val="center"/>
          </w:tcPr>
          <w:p>
            <w:pPr>
              <w:widowControl/>
              <w:adjustRightInd w:val="0"/>
              <w:snapToGrid w:val="0"/>
              <w:spacing w:line="360" w:lineRule="exact"/>
              <w:jc w:val="center"/>
              <w:rPr>
                <w:rFonts w:hint="default" w:ascii="Times New Roman" w:hAnsi="Times New Roman" w:eastAsia="黑体" w:cs="Times New Roman"/>
                <w:b w:val="0"/>
                <w:bCs/>
                <w:kern w:val="0"/>
                <w:sz w:val="24"/>
                <w:szCs w:val="24"/>
              </w:rPr>
            </w:pPr>
            <w:r>
              <w:rPr>
                <w:rFonts w:hint="default" w:ascii="Times New Roman" w:hAnsi="Times New Roman" w:eastAsia="黑体" w:cs="Times New Roman"/>
                <w:b w:val="0"/>
                <w:bCs/>
                <w:kern w:val="0"/>
                <w:sz w:val="24"/>
                <w:szCs w:val="24"/>
              </w:rPr>
              <w:t>序号</w:t>
            </w:r>
          </w:p>
        </w:tc>
        <w:tc>
          <w:tcPr>
            <w:tcW w:w="977" w:type="dxa"/>
            <w:vAlign w:val="center"/>
          </w:tcPr>
          <w:p>
            <w:pPr>
              <w:widowControl/>
              <w:adjustRightInd w:val="0"/>
              <w:snapToGrid w:val="0"/>
              <w:spacing w:line="360" w:lineRule="exact"/>
              <w:jc w:val="center"/>
              <w:rPr>
                <w:rFonts w:hint="default" w:ascii="Times New Roman" w:hAnsi="Times New Roman" w:eastAsia="黑体" w:cs="Times New Roman"/>
                <w:b w:val="0"/>
                <w:bCs/>
                <w:kern w:val="0"/>
                <w:sz w:val="24"/>
                <w:szCs w:val="24"/>
              </w:rPr>
            </w:pPr>
            <w:r>
              <w:rPr>
                <w:rFonts w:hint="default" w:ascii="Times New Roman" w:hAnsi="Times New Roman" w:eastAsia="黑体" w:cs="Times New Roman"/>
                <w:b w:val="0"/>
                <w:bCs/>
                <w:kern w:val="0"/>
                <w:sz w:val="24"/>
                <w:szCs w:val="24"/>
              </w:rPr>
              <w:t>地区</w:t>
            </w:r>
          </w:p>
        </w:tc>
        <w:tc>
          <w:tcPr>
            <w:tcW w:w="1618" w:type="dxa"/>
            <w:vAlign w:val="center"/>
          </w:tcPr>
          <w:p>
            <w:pPr>
              <w:widowControl/>
              <w:adjustRightInd w:val="0"/>
              <w:snapToGrid w:val="0"/>
              <w:spacing w:line="360" w:lineRule="exact"/>
              <w:jc w:val="center"/>
              <w:rPr>
                <w:rFonts w:hint="default" w:ascii="Times New Roman" w:hAnsi="Times New Roman" w:eastAsia="黑体" w:cs="Times New Roman"/>
                <w:b w:val="0"/>
                <w:bCs/>
                <w:kern w:val="0"/>
                <w:sz w:val="24"/>
                <w:szCs w:val="24"/>
              </w:rPr>
            </w:pPr>
            <w:r>
              <w:rPr>
                <w:rFonts w:hint="default" w:ascii="Times New Roman" w:hAnsi="Times New Roman" w:eastAsia="黑体" w:cs="Times New Roman"/>
                <w:b w:val="0"/>
                <w:bCs/>
                <w:kern w:val="0"/>
                <w:sz w:val="24"/>
                <w:szCs w:val="24"/>
              </w:rPr>
              <w:t>2020年装机</w:t>
            </w:r>
          </w:p>
        </w:tc>
        <w:tc>
          <w:tcPr>
            <w:tcW w:w="2450" w:type="dxa"/>
            <w:vAlign w:val="center"/>
          </w:tcPr>
          <w:p>
            <w:pPr>
              <w:widowControl/>
              <w:adjustRightInd w:val="0"/>
              <w:snapToGrid w:val="0"/>
              <w:spacing w:line="360" w:lineRule="exact"/>
              <w:jc w:val="center"/>
              <w:rPr>
                <w:rFonts w:hint="default" w:ascii="Times New Roman" w:hAnsi="Times New Roman" w:eastAsia="黑体" w:cs="Times New Roman"/>
                <w:b w:val="0"/>
                <w:bCs/>
                <w:kern w:val="0"/>
                <w:sz w:val="24"/>
                <w:szCs w:val="24"/>
                <w:lang w:eastAsia="zh-CN"/>
              </w:rPr>
            </w:pPr>
            <w:r>
              <w:rPr>
                <w:rFonts w:hint="default" w:ascii="Times New Roman" w:hAnsi="Times New Roman" w:eastAsia="黑体" w:cs="Times New Roman"/>
                <w:b w:val="0"/>
                <w:bCs/>
                <w:kern w:val="0"/>
                <w:sz w:val="24"/>
                <w:szCs w:val="24"/>
              </w:rPr>
              <w:t>2025年装机</w:t>
            </w:r>
            <w:r>
              <w:rPr>
                <w:rFonts w:hint="default" w:ascii="Times New Roman" w:hAnsi="Times New Roman" w:eastAsia="黑体" w:cs="Times New Roman"/>
                <w:b w:val="0"/>
                <w:bCs/>
                <w:kern w:val="0"/>
                <w:sz w:val="24"/>
                <w:szCs w:val="24"/>
                <w:lang w:eastAsia="zh-CN"/>
              </w:rPr>
              <w:t>或开工</w:t>
            </w:r>
          </w:p>
        </w:tc>
        <w:tc>
          <w:tcPr>
            <w:tcW w:w="3226" w:type="dxa"/>
            <w:vAlign w:val="center"/>
          </w:tcPr>
          <w:p>
            <w:pPr>
              <w:widowControl/>
              <w:adjustRightInd w:val="0"/>
              <w:snapToGrid w:val="0"/>
              <w:spacing w:line="360" w:lineRule="exact"/>
              <w:jc w:val="center"/>
              <w:rPr>
                <w:rFonts w:hint="default" w:ascii="Times New Roman" w:hAnsi="Times New Roman" w:eastAsia="黑体" w:cs="Times New Roman"/>
                <w:b w:val="0"/>
                <w:bCs/>
                <w:kern w:val="0"/>
                <w:sz w:val="24"/>
                <w:szCs w:val="24"/>
                <w:lang w:eastAsia="zh-CN"/>
              </w:rPr>
            </w:pPr>
            <w:r>
              <w:rPr>
                <w:rFonts w:hint="default" w:ascii="Times New Roman" w:hAnsi="Times New Roman" w:eastAsia="黑体" w:cs="Times New Roman"/>
                <w:b w:val="0"/>
                <w:bCs/>
                <w:kern w:val="0"/>
                <w:sz w:val="24"/>
                <w:szCs w:val="24"/>
              </w:rPr>
              <w:t>“十四五”新增装机</w:t>
            </w:r>
            <w:r>
              <w:rPr>
                <w:rFonts w:hint="default" w:ascii="Times New Roman" w:hAnsi="Times New Roman" w:eastAsia="黑体" w:cs="Times New Roman"/>
                <w:b w:val="0"/>
                <w:bCs/>
                <w:kern w:val="0"/>
                <w:sz w:val="24"/>
                <w:szCs w:val="24"/>
                <w:lang w:eastAsia="zh-CN"/>
              </w:rPr>
              <w:t>或开工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0" w:hRule="atLeast"/>
          <w:jc w:val="center"/>
        </w:trPr>
        <w:tc>
          <w:tcPr>
            <w:tcW w:w="800" w:type="dxa"/>
            <w:vAlign w:val="center"/>
          </w:tcPr>
          <w:p>
            <w:pPr>
              <w:widowControl/>
              <w:adjustRightInd w:val="0"/>
              <w:snapToGrid w:val="0"/>
              <w:spacing w:line="360" w:lineRule="exact"/>
              <w:jc w:val="center"/>
              <w:rPr>
                <w:rFonts w:hint="default" w:ascii="Times New Roman" w:hAnsi="Times New Roman" w:eastAsia="仿宋_GB2312" w:cs="Times New Roman"/>
                <w:b w:val="0"/>
                <w:bCs/>
                <w:kern w:val="0"/>
                <w:sz w:val="24"/>
                <w:szCs w:val="24"/>
              </w:rPr>
            </w:pPr>
            <w:r>
              <w:rPr>
                <w:rFonts w:hint="default" w:ascii="Times New Roman" w:hAnsi="Times New Roman" w:eastAsia="仿宋_GB2312" w:cs="Times New Roman"/>
                <w:b w:val="0"/>
                <w:bCs/>
                <w:kern w:val="0"/>
                <w:sz w:val="24"/>
                <w:szCs w:val="24"/>
              </w:rPr>
              <w:t>1</w:t>
            </w:r>
          </w:p>
        </w:tc>
        <w:tc>
          <w:tcPr>
            <w:tcW w:w="977" w:type="dxa"/>
            <w:vAlign w:val="center"/>
          </w:tcPr>
          <w:p>
            <w:pPr>
              <w:widowControl/>
              <w:adjustRightInd w:val="0"/>
              <w:snapToGrid w:val="0"/>
              <w:spacing w:line="360" w:lineRule="exact"/>
              <w:jc w:val="center"/>
              <w:rPr>
                <w:rFonts w:hint="default" w:ascii="Times New Roman" w:hAnsi="Times New Roman" w:eastAsia="仿宋_GB2312" w:cs="Times New Roman"/>
                <w:b w:val="0"/>
                <w:bCs/>
                <w:kern w:val="0"/>
                <w:sz w:val="24"/>
                <w:szCs w:val="24"/>
              </w:rPr>
            </w:pPr>
            <w:r>
              <w:rPr>
                <w:rFonts w:hint="default" w:ascii="Times New Roman" w:hAnsi="Times New Roman" w:eastAsia="仿宋_GB2312" w:cs="Times New Roman"/>
                <w:b w:val="0"/>
                <w:bCs/>
                <w:kern w:val="0"/>
                <w:sz w:val="24"/>
                <w:szCs w:val="24"/>
              </w:rPr>
              <w:t>嘉兴</w:t>
            </w:r>
          </w:p>
        </w:tc>
        <w:tc>
          <w:tcPr>
            <w:tcW w:w="1618" w:type="dxa"/>
            <w:vAlign w:val="center"/>
          </w:tcPr>
          <w:p>
            <w:pPr>
              <w:widowControl/>
              <w:adjustRightInd w:val="0"/>
              <w:snapToGrid w:val="0"/>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0</w:t>
            </w:r>
          </w:p>
        </w:tc>
        <w:tc>
          <w:tcPr>
            <w:tcW w:w="2450" w:type="dxa"/>
            <w:vAlign w:val="center"/>
          </w:tcPr>
          <w:p>
            <w:pPr>
              <w:widowControl/>
              <w:adjustRightInd w:val="0"/>
              <w:snapToGrid w:val="0"/>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60</w:t>
            </w:r>
          </w:p>
        </w:tc>
        <w:tc>
          <w:tcPr>
            <w:tcW w:w="3226" w:type="dxa"/>
            <w:vAlign w:val="center"/>
          </w:tcPr>
          <w:p>
            <w:pPr>
              <w:widowControl/>
              <w:adjustRightInd w:val="0"/>
              <w:snapToGrid w:val="0"/>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0" w:hRule="atLeast"/>
          <w:jc w:val="center"/>
        </w:trPr>
        <w:tc>
          <w:tcPr>
            <w:tcW w:w="800" w:type="dxa"/>
            <w:vAlign w:val="center"/>
          </w:tcPr>
          <w:p>
            <w:pPr>
              <w:widowControl/>
              <w:adjustRightInd w:val="0"/>
              <w:snapToGrid w:val="0"/>
              <w:spacing w:line="360" w:lineRule="exact"/>
              <w:jc w:val="center"/>
              <w:rPr>
                <w:rFonts w:hint="default" w:ascii="Times New Roman" w:hAnsi="Times New Roman" w:eastAsia="仿宋_GB2312" w:cs="Times New Roman"/>
                <w:b w:val="0"/>
                <w:bCs/>
                <w:kern w:val="0"/>
                <w:sz w:val="24"/>
                <w:szCs w:val="24"/>
              </w:rPr>
            </w:pPr>
            <w:r>
              <w:rPr>
                <w:rFonts w:hint="default" w:ascii="Times New Roman" w:hAnsi="Times New Roman" w:eastAsia="仿宋_GB2312" w:cs="Times New Roman"/>
                <w:b w:val="0"/>
                <w:bCs/>
                <w:kern w:val="0"/>
                <w:sz w:val="24"/>
                <w:szCs w:val="24"/>
              </w:rPr>
              <w:t>2</w:t>
            </w:r>
          </w:p>
        </w:tc>
        <w:tc>
          <w:tcPr>
            <w:tcW w:w="977" w:type="dxa"/>
            <w:vAlign w:val="center"/>
          </w:tcPr>
          <w:p>
            <w:pPr>
              <w:widowControl/>
              <w:adjustRightInd w:val="0"/>
              <w:snapToGrid w:val="0"/>
              <w:spacing w:line="360" w:lineRule="exact"/>
              <w:jc w:val="center"/>
              <w:rPr>
                <w:rFonts w:hint="default" w:ascii="Times New Roman" w:hAnsi="Times New Roman" w:eastAsia="仿宋_GB2312" w:cs="Times New Roman"/>
                <w:b w:val="0"/>
                <w:bCs/>
                <w:kern w:val="0"/>
                <w:sz w:val="24"/>
                <w:szCs w:val="24"/>
              </w:rPr>
            </w:pPr>
            <w:r>
              <w:rPr>
                <w:rFonts w:hint="default" w:ascii="Times New Roman" w:hAnsi="Times New Roman" w:eastAsia="仿宋_GB2312" w:cs="Times New Roman"/>
                <w:b w:val="0"/>
                <w:bCs/>
                <w:kern w:val="0"/>
                <w:sz w:val="24"/>
                <w:szCs w:val="24"/>
              </w:rPr>
              <w:t>舟山</w:t>
            </w:r>
          </w:p>
        </w:tc>
        <w:tc>
          <w:tcPr>
            <w:tcW w:w="1618" w:type="dxa"/>
            <w:vAlign w:val="center"/>
          </w:tcPr>
          <w:p>
            <w:pPr>
              <w:widowControl/>
              <w:adjustRightInd w:val="0"/>
              <w:snapToGrid w:val="0"/>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45</w:t>
            </w:r>
          </w:p>
        </w:tc>
        <w:tc>
          <w:tcPr>
            <w:tcW w:w="2450" w:type="dxa"/>
            <w:vAlign w:val="center"/>
          </w:tcPr>
          <w:p>
            <w:pPr>
              <w:widowControl/>
              <w:adjustRightInd w:val="0"/>
              <w:snapToGrid w:val="0"/>
              <w:spacing w:line="360" w:lineRule="exact"/>
              <w:jc w:val="center"/>
              <w:rPr>
                <w:rFonts w:hint="default" w:ascii="Times New Roman" w:hAnsi="Times New Roman" w:eastAsia="仿宋_GB2312" w:cs="Times New Roman"/>
                <w:kern w:val="0"/>
                <w:sz w:val="24"/>
                <w:szCs w:val="24"/>
                <w:lang w:eastAsia="zh-CN"/>
              </w:rPr>
            </w:pPr>
            <w:r>
              <w:rPr>
                <w:rFonts w:hint="default" w:ascii="Times New Roman" w:hAnsi="Times New Roman" w:eastAsia="仿宋_GB2312" w:cs="Times New Roman"/>
                <w:kern w:val="0"/>
                <w:sz w:val="24"/>
                <w:szCs w:val="24"/>
              </w:rPr>
              <w:t>25</w:t>
            </w:r>
            <w:r>
              <w:rPr>
                <w:rFonts w:hint="default" w:ascii="Times New Roman" w:hAnsi="Times New Roman" w:cs="Times New Roman"/>
                <w:kern w:val="0"/>
                <w:sz w:val="24"/>
                <w:szCs w:val="24"/>
                <w:lang w:val="en-US" w:eastAsia="zh-CN"/>
              </w:rPr>
              <w:t>6</w:t>
            </w:r>
          </w:p>
        </w:tc>
        <w:tc>
          <w:tcPr>
            <w:tcW w:w="3226" w:type="dxa"/>
            <w:vAlign w:val="center"/>
          </w:tcPr>
          <w:p>
            <w:pPr>
              <w:widowControl/>
              <w:adjustRightInd w:val="0"/>
              <w:snapToGrid w:val="0"/>
              <w:spacing w:line="360" w:lineRule="exact"/>
              <w:jc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rPr>
              <w:t>2</w:t>
            </w:r>
            <w:r>
              <w:rPr>
                <w:rFonts w:hint="default" w:ascii="Times New Roman" w:hAnsi="Times New Roman" w:cs="Times New Roman"/>
                <w:kern w:val="0"/>
                <w:sz w:val="24"/>
                <w:szCs w:val="24"/>
                <w:lang w:val="en-US" w:eastAsia="zh-CN"/>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0" w:hRule="atLeast"/>
          <w:jc w:val="center"/>
        </w:trPr>
        <w:tc>
          <w:tcPr>
            <w:tcW w:w="800" w:type="dxa"/>
            <w:vAlign w:val="center"/>
          </w:tcPr>
          <w:p>
            <w:pPr>
              <w:widowControl/>
              <w:adjustRightInd w:val="0"/>
              <w:snapToGrid w:val="0"/>
              <w:spacing w:line="360" w:lineRule="exact"/>
              <w:jc w:val="center"/>
              <w:rPr>
                <w:rFonts w:hint="default" w:ascii="Times New Roman" w:hAnsi="Times New Roman" w:eastAsia="仿宋_GB2312" w:cs="Times New Roman"/>
                <w:b w:val="0"/>
                <w:bCs/>
                <w:kern w:val="0"/>
                <w:sz w:val="24"/>
                <w:szCs w:val="24"/>
              </w:rPr>
            </w:pPr>
            <w:r>
              <w:rPr>
                <w:rFonts w:hint="default" w:ascii="Times New Roman" w:hAnsi="Times New Roman" w:eastAsia="仿宋_GB2312" w:cs="Times New Roman"/>
                <w:b w:val="0"/>
                <w:bCs/>
                <w:kern w:val="0"/>
                <w:sz w:val="24"/>
                <w:szCs w:val="24"/>
              </w:rPr>
              <w:t>3</w:t>
            </w:r>
          </w:p>
        </w:tc>
        <w:tc>
          <w:tcPr>
            <w:tcW w:w="977" w:type="dxa"/>
            <w:vAlign w:val="center"/>
          </w:tcPr>
          <w:p>
            <w:pPr>
              <w:widowControl/>
              <w:adjustRightInd w:val="0"/>
              <w:snapToGrid w:val="0"/>
              <w:spacing w:line="360" w:lineRule="exact"/>
              <w:jc w:val="center"/>
              <w:rPr>
                <w:rFonts w:hint="default" w:ascii="Times New Roman" w:hAnsi="Times New Roman" w:eastAsia="仿宋_GB2312" w:cs="Times New Roman"/>
                <w:b w:val="0"/>
                <w:bCs/>
                <w:kern w:val="0"/>
                <w:sz w:val="24"/>
                <w:szCs w:val="24"/>
              </w:rPr>
            </w:pPr>
            <w:r>
              <w:rPr>
                <w:rFonts w:hint="default" w:ascii="Times New Roman" w:hAnsi="Times New Roman" w:eastAsia="仿宋_GB2312" w:cs="Times New Roman"/>
                <w:b w:val="0"/>
                <w:bCs/>
                <w:kern w:val="0"/>
                <w:sz w:val="24"/>
                <w:szCs w:val="24"/>
              </w:rPr>
              <w:t>宁波</w:t>
            </w:r>
          </w:p>
        </w:tc>
        <w:tc>
          <w:tcPr>
            <w:tcW w:w="1618" w:type="dxa"/>
            <w:vAlign w:val="center"/>
          </w:tcPr>
          <w:p>
            <w:pPr>
              <w:widowControl/>
              <w:adjustRightInd w:val="0"/>
              <w:snapToGrid w:val="0"/>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0</w:t>
            </w:r>
          </w:p>
        </w:tc>
        <w:tc>
          <w:tcPr>
            <w:tcW w:w="2450" w:type="dxa"/>
            <w:vAlign w:val="center"/>
          </w:tcPr>
          <w:p>
            <w:pPr>
              <w:widowControl/>
              <w:adjustRightInd w:val="0"/>
              <w:snapToGrid w:val="0"/>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225</w:t>
            </w:r>
          </w:p>
        </w:tc>
        <w:tc>
          <w:tcPr>
            <w:tcW w:w="3226" w:type="dxa"/>
            <w:vAlign w:val="center"/>
          </w:tcPr>
          <w:p>
            <w:pPr>
              <w:widowControl/>
              <w:adjustRightInd w:val="0"/>
              <w:snapToGrid w:val="0"/>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225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0" w:hRule="atLeast"/>
          <w:jc w:val="center"/>
        </w:trPr>
        <w:tc>
          <w:tcPr>
            <w:tcW w:w="800" w:type="dxa"/>
            <w:vAlign w:val="center"/>
          </w:tcPr>
          <w:p>
            <w:pPr>
              <w:widowControl/>
              <w:adjustRightInd w:val="0"/>
              <w:snapToGrid w:val="0"/>
              <w:spacing w:line="360" w:lineRule="exact"/>
              <w:jc w:val="center"/>
              <w:rPr>
                <w:rFonts w:hint="default" w:ascii="Times New Roman" w:hAnsi="Times New Roman" w:eastAsia="仿宋_GB2312" w:cs="Times New Roman"/>
                <w:b w:val="0"/>
                <w:bCs/>
                <w:kern w:val="0"/>
                <w:sz w:val="24"/>
                <w:szCs w:val="24"/>
              </w:rPr>
            </w:pPr>
            <w:r>
              <w:rPr>
                <w:rFonts w:hint="default" w:ascii="Times New Roman" w:hAnsi="Times New Roman" w:eastAsia="仿宋_GB2312" w:cs="Times New Roman"/>
                <w:b w:val="0"/>
                <w:bCs/>
                <w:kern w:val="0"/>
                <w:sz w:val="24"/>
                <w:szCs w:val="24"/>
              </w:rPr>
              <w:t>4</w:t>
            </w:r>
          </w:p>
        </w:tc>
        <w:tc>
          <w:tcPr>
            <w:tcW w:w="977" w:type="dxa"/>
            <w:vAlign w:val="center"/>
          </w:tcPr>
          <w:p>
            <w:pPr>
              <w:widowControl/>
              <w:adjustRightInd w:val="0"/>
              <w:snapToGrid w:val="0"/>
              <w:spacing w:line="360" w:lineRule="exact"/>
              <w:jc w:val="center"/>
              <w:rPr>
                <w:rFonts w:hint="default" w:ascii="Times New Roman" w:hAnsi="Times New Roman" w:eastAsia="仿宋_GB2312" w:cs="Times New Roman"/>
                <w:b w:val="0"/>
                <w:bCs/>
                <w:kern w:val="0"/>
                <w:sz w:val="24"/>
                <w:szCs w:val="24"/>
              </w:rPr>
            </w:pPr>
            <w:r>
              <w:rPr>
                <w:rFonts w:hint="default" w:ascii="Times New Roman" w:hAnsi="Times New Roman" w:eastAsia="仿宋_GB2312" w:cs="Times New Roman"/>
                <w:b w:val="0"/>
                <w:bCs/>
                <w:kern w:val="0"/>
                <w:sz w:val="24"/>
                <w:szCs w:val="24"/>
              </w:rPr>
              <w:t>台州</w:t>
            </w:r>
          </w:p>
        </w:tc>
        <w:tc>
          <w:tcPr>
            <w:tcW w:w="1618" w:type="dxa"/>
            <w:vAlign w:val="center"/>
          </w:tcPr>
          <w:p>
            <w:pPr>
              <w:widowControl/>
              <w:adjustRightInd w:val="0"/>
              <w:snapToGrid w:val="0"/>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0</w:t>
            </w:r>
          </w:p>
        </w:tc>
        <w:tc>
          <w:tcPr>
            <w:tcW w:w="2450" w:type="dxa"/>
            <w:vAlign w:val="center"/>
          </w:tcPr>
          <w:p>
            <w:pPr>
              <w:widowControl/>
              <w:adjustRightInd w:val="0"/>
              <w:snapToGrid w:val="0"/>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2</w:t>
            </w:r>
            <w:r>
              <w:rPr>
                <w:rFonts w:hint="default" w:ascii="Times New Roman" w:hAnsi="Times New Roman" w:cs="Times New Roman"/>
                <w:kern w:val="0"/>
                <w:sz w:val="24"/>
                <w:szCs w:val="24"/>
                <w:lang w:val="en-US" w:eastAsia="zh-CN"/>
              </w:rPr>
              <w:t>6</w:t>
            </w:r>
            <w:r>
              <w:rPr>
                <w:rFonts w:hint="default" w:ascii="Times New Roman" w:hAnsi="Times New Roman" w:eastAsia="仿宋_GB2312" w:cs="Times New Roman"/>
                <w:kern w:val="0"/>
                <w:sz w:val="24"/>
                <w:szCs w:val="24"/>
              </w:rPr>
              <w:t>0</w:t>
            </w:r>
          </w:p>
        </w:tc>
        <w:tc>
          <w:tcPr>
            <w:tcW w:w="3226" w:type="dxa"/>
            <w:vAlign w:val="center"/>
          </w:tcPr>
          <w:p>
            <w:pPr>
              <w:widowControl/>
              <w:adjustRightInd w:val="0"/>
              <w:snapToGrid w:val="0"/>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2</w:t>
            </w:r>
            <w:r>
              <w:rPr>
                <w:rFonts w:hint="default" w:ascii="Times New Roman" w:hAnsi="Times New Roman" w:cs="Times New Roman"/>
                <w:kern w:val="0"/>
                <w:sz w:val="24"/>
                <w:szCs w:val="24"/>
                <w:lang w:val="en-US" w:eastAsia="zh-CN"/>
              </w:rPr>
              <w:t>6</w:t>
            </w:r>
            <w:r>
              <w:rPr>
                <w:rFonts w:hint="default" w:ascii="Times New Roman" w:hAnsi="Times New Roman" w:eastAsia="仿宋_GB2312" w:cs="Times New Roman"/>
                <w:kern w:val="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0" w:hRule="atLeast"/>
          <w:jc w:val="center"/>
        </w:trPr>
        <w:tc>
          <w:tcPr>
            <w:tcW w:w="800" w:type="dxa"/>
            <w:vAlign w:val="center"/>
          </w:tcPr>
          <w:p>
            <w:pPr>
              <w:widowControl/>
              <w:adjustRightInd w:val="0"/>
              <w:snapToGrid w:val="0"/>
              <w:spacing w:line="360" w:lineRule="exact"/>
              <w:jc w:val="center"/>
              <w:rPr>
                <w:rFonts w:hint="default" w:ascii="Times New Roman" w:hAnsi="Times New Roman" w:eastAsia="仿宋_GB2312" w:cs="Times New Roman"/>
                <w:b w:val="0"/>
                <w:bCs/>
                <w:kern w:val="0"/>
                <w:sz w:val="24"/>
                <w:szCs w:val="24"/>
              </w:rPr>
            </w:pPr>
            <w:r>
              <w:rPr>
                <w:rFonts w:hint="default" w:ascii="Times New Roman" w:hAnsi="Times New Roman" w:eastAsia="仿宋_GB2312" w:cs="Times New Roman"/>
                <w:b w:val="0"/>
                <w:bCs/>
                <w:kern w:val="0"/>
                <w:sz w:val="24"/>
                <w:szCs w:val="24"/>
              </w:rPr>
              <w:t>5</w:t>
            </w:r>
          </w:p>
        </w:tc>
        <w:tc>
          <w:tcPr>
            <w:tcW w:w="977" w:type="dxa"/>
            <w:vAlign w:val="center"/>
          </w:tcPr>
          <w:p>
            <w:pPr>
              <w:widowControl/>
              <w:adjustRightInd w:val="0"/>
              <w:snapToGrid w:val="0"/>
              <w:spacing w:line="360" w:lineRule="exact"/>
              <w:jc w:val="center"/>
              <w:rPr>
                <w:rFonts w:hint="default" w:ascii="Times New Roman" w:hAnsi="Times New Roman" w:eastAsia="仿宋_GB2312" w:cs="Times New Roman"/>
                <w:b w:val="0"/>
                <w:bCs/>
                <w:kern w:val="0"/>
                <w:sz w:val="24"/>
                <w:szCs w:val="24"/>
              </w:rPr>
            </w:pPr>
            <w:r>
              <w:rPr>
                <w:rFonts w:hint="default" w:ascii="Times New Roman" w:hAnsi="Times New Roman" w:eastAsia="仿宋_GB2312" w:cs="Times New Roman"/>
                <w:b w:val="0"/>
                <w:bCs/>
                <w:kern w:val="0"/>
                <w:sz w:val="24"/>
                <w:szCs w:val="24"/>
              </w:rPr>
              <w:t>温州</w:t>
            </w:r>
          </w:p>
        </w:tc>
        <w:tc>
          <w:tcPr>
            <w:tcW w:w="1618" w:type="dxa"/>
            <w:vAlign w:val="center"/>
          </w:tcPr>
          <w:p>
            <w:pPr>
              <w:widowControl/>
              <w:adjustRightInd w:val="0"/>
              <w:snapToGrid w:val="0"/>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0</w:t>
            </w:r>
          </w:p>
        </w:tc>
        <w:tc>
          <w:tcPr>
            <w:tcW w:w="2450" w:type="dxa"/>
            <w:vAlign w:val="center"/>
          </w:tcPr>
          <w:p>
            <w:pPr>
              <w:widowControl/>
              <w:adjustRightInd w:val="0"/>
              <w:snapToGrid w:val="0"/>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240</w:t>
            </w:r>
          </w:p>
        </w:tc>
        <w:tc>
          <w:tcPr>
            <w:tcW w:w="3226" w:type="dxa"/>
            <w:vAlign w:val="center"/>
          </w:tcPr>
          <w:p>
            <w:pPr>
              <w:widowControl/>
              <w:adjustRightInd w:val="0"/>
              <w:snapToGrid w:val="0"/>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240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0" w:hRule="atLeast"/>
          <w:jc w:val="center"/>
        </w:trPr>
        <w:tc>
          <w:tcPr>
            <w:tcW w:w="1777" w:type="dxa"/>
            <w:gridSpan w:val="2"/>
            <w:vAlign w:val="center"/>
          </w:tcPr>
          <w:p>
            <w:pPr>
              <w:widowControl/>
              <w:adjustRightInd w:val="0"/>
              <w:snapToGrid w:val="0"/>
              <w:spacing w:line="360" w:lineRule="exact"/>
              <w:jc w:val="center"/>
              <w:rPr>
                <w:rFonts w:hint="default" w:ascii="Times New Roman" w:hAnsi="Times New Roman" w:eastAsia="仿宋_GB2312" w:cs="Times New Roman"/>
                <w:b/>
                <w:kern w:val="0"/>
                <w:sz w:val="24"/>
                <w:szCs w:val="24"/>
              </w:rPr>
            </w:pPr>
            <w:r>
              <w:rPr>
                <w:rFonts w:hint="default" w:ascii="Times New Roman" w:hAnsi="Times New Roman" w:eastAsia="仿宋_GB2312" w:cs="Times New Roman"/>
                <w:b/>
                <w:kern w:val="0"/>
                <w:sz w:val="24"/>
                <w:szCs w:val="24"/>
              </w:rPr>
              <w:t>合计</w:t>
            </w:r>
          </w:p>
        </w:tc>
        <w:tc>
          <w:tcPr>
            <w:tcW w:w="1618" w:type="dxa"/>
            <w:vAlign w:val="center"/>
          </w:tcPr>
          <w:p>
            <w:pPr>
              <w:widowControl/>
              <w:adjustRightInd w:val="0"/>
              <w:snapToGrid w:val="0"/>
              <w:spacing w:line="360" w:lineRule="exact"/>
              <w:jc w:val="center"/>
              <w:rPr>
                <w:rFonts w:hint="default" w:ascii="Times New Roman" w:hAnsi="Times New Roman" w:eastAsia="仿宋_GB2312" w:cs="Times New Roman"/>
                <w:b/>
                <w:kern w:val="0"/>
                <w:sz w:val="24"/>
                <w:szCs w:val="24"/>
              </w:rPr>
            </w:pPr>
            <w:r>
              <w:rPr>
                <w:rFonts w:hint="default" w:ascii="Times New Roman" w:hAnsi="Times New Roman" w:eastAsia="仿宋_GB2312" w:cs="Times New Roman"/>
                <w:b/>
                <w:kern w:val="0"/>
                <w:sz w:val="24"/>
                <w:szCs w:val="24"/>
              </w:rPr>
              <w:t>45</w:t>
            </w:r>
          </w:p>
        </w:tc>
        <w:tc>
          <w:tcPr>
            <w:tcW w:w="2450" w:type="dxa"/>
            <w:vAlign w:val="center"/>
          </w:tcPr>
          <w:p>
            <w:pPr>
              <w:widowControl/>
              <w:adjustRightInd w:val="0"/>
              <w:snapToGrid w:val="0"/>
              <w:spacing w:line="360" w:lineRule="exact"/>
              <w:jc w:val="center"/>
              <w:rPr>
                <w:rFonts w:hint="default" w:ascii="Times New Roman" w:hAnsi="Times New Roman" w:eastAsia="仿宋_GB2312" w:cs="Times New Roman"/>
                <w:b/>
                <w:kern w:val="0"/>
                <w:sz w:val="24"/>
                <w:szCs w:val="24"/>
                <w:lang w:val="en-US" w:eastAsia="zh-CN"/>
              </w:rPr>
            </w:pPr>
            <w:r>
              <w:rPr>
                <w:rFonts w:hint="default" w:ascii="Times New Roman" w:hAnsi="Times New Roman" w:eastAsia="仿宋_GB2312" w:cs="Times New Roman"/>
                <w:b/>
                <w:kern w:val="0"/>
                <w:sz w:val="24"/>
                <w:szCs w:val="24"/>
              </w:rPr>
              <w:t>10</w:t>
            </w:r>
            <w:r>
              <w:rPr>
                <w:rFonts w:hint="default" w:ascii="Times New Roman" w:hAnsi="Times New Roman" w:cs="Times New Roman"/>
                <w:b/>
                <w:kern w:val="0"/>
                <w:sz w:val="24"/>
                <w:szCs w:val="24"/>
                <w:lang w:val="en-US" w:eastAsia="zh-CN"/>
              </w:rPr>
              <w:t>41</w:t>
            </w:r>
          </w:p>
        </w:tc>
        <w:tc>
          <w:tcPr>
            <w:tcW w:w="3226" w:type="dxa"/>
            <w:vAlign w:val="center"/>
          </w:tcPr>
          <w:p>
            <w:pPr>
              <w:widowControl/>
              <w:adjustRightInd w:val="0"/>
              <w:snapToGrid w:val="0"/>
              <w:spacing w:line="360" w:lineRule="exact"/>
              <w:jc w:val="center"/>
              <w:rPr>
                <w:rFonts w:hint="default" w:ascii="Times New Roman" w:hAnsi="Times New Roman" w:eastAsia="仿宋_GB2312" w:cs="Times New Roman"/>
                <w:b/>
                <w:kern w:val="0"/>
                <w:sz w:val="24"/>
                <w:szCs w:val="24"/>
                <w:lang w:val="en-US" w:eastAsia="zh-CN"/>
              </w:rPr>
            </w:pPr>
            <w:r>
              <w:rPr>
                <w:rFonts w:hint="default" w:ascii="Times New Roman" w:hAnsi="Times New Roman" w:eastAsia="仿宋_GB2312" w:cs="Times New Roman"/>
                <w:b/>
                <w:kern w:val="0"/>
                <w:sz w:val="24"/>
                <w:szCs w:val="24"/>
              </w:rPr>
              <w:t>9</w:t>
            </w:r>
            <w:r>
              <w:rPr>
                <w:rFonts w:hint="default" w:ascii="Times New Roman" w:hAnsi="Times New Roman" w:cs="Times New Roman"/>
                <w:b/>
                <w:kern w:val="0"/>
                <w:sz w:val="24"/>
                <w:szCs w:val="24"/>
                <w:lang w:val="en-US" w:eastAsia="zh-CN"/>
              </w:rPr>
              <w:t>96</w:t>
            </w:r>
          </w:p>
        </w:tc>
      </w:tr>
    </w:tbl>
    <w:p>
      <w:pPr>
        <w:adjustRightInd w:val="0"/>
        <w:snapToGrid w:val="0"/>
        <w:spacing w:line="360" w:lineRule="auto"/>
        <w:ind w:firstLine="400" w:firstLineChars="200"/>
        <w:jc w:val="left"/>
        <w:textAlignment w:val="center"/>
        <w:rPr>
          <w:rFonts w:ascii="Times New Roman" w:hAnsi="Times New Roman" w:eastAsia="宋体" w:cs="Times New Roman"/>
          <w:kern w:val="0"/>
          <w:sz w:val="20"/>
          <w:szCs w:val="20"/>
        </w:rPr>
      </w:pPr>
    </w:p>
    <w:p>
      <w:pPr>
        <w:snapToGrid w:val="0"/>
        <w:spacing w:line="579" w:lineRule="exact"/>
        <w:jc w:val="center"/>
        <w:rPr>
          <w:rFonts w:hint="default" w:ascii="Times New Roman" w:hAnsi="Times New Roman" w:eastAsia="黑体" w:cs="Times New Roman"/>
          <w:b w:val="0"/>
          <w:bCs w:val="0"/>
          <w:sz w:val="28"/>
          <w:szCs w:val="28"/>
        </w:rPr>
      </w:pPr>
      <w:r>
        <w:rPr>
          <w:rFonts w:hint="default" w:ascii="Times New Roman" w:hAnsi="Times New Roman" w:eastAsia="黑体" w:cs="Times New Roman"/>
          <w:b w:val="0"/>
          <w:bCs w:val="0"/>
          <w:sz w:val="28"/>
          <w:szCs w:val="28"/>
        </w:rPr>
        <w:t xml:space="preserve">表4 </w:t>
      </w:r>
      <w:r>
        <w:rPr>
          <w:rFonts w:hint="default" w:ascii="Times New Roman" w:hAnsi="Times New Roman" w:eastAsia="黑体" w:cs="Times New Roman"/>
          <w:b w:val="0"/>
          <w:bCs w:val="0"/>
          <w:sz w:val="28"/>
          <w:szCs w:val="28"/>
          <w:lang w:val="en-US" w:eastAsia="zh-CN"/>
        </w:rPr>
        <w:t xml:space="preserve"> </w:t>
      </w:r>
      <w:r>
        <w:rPr>
          <w:rFonts w:hint="default" w:ascii="Times New Roman" w:hAnsi="Times New Roman" w:eastAsia="黑体" w:cs="Times New Roman"/>
          <w:b w:val="0"/>
          <w:bCs w:val="0"/>
          <w:sz w:val="28"/>
          <w:szCs w:val="28"/>
        </w:rPr>
        <w:t>浙江省各地市“十四五”光伏发展目标</w:t>
      </w:r>
    </w:p>
    <w:p>
      <w:pPr>
        <w:adjustRightInd w:val="0"/>
        <w:snapToGrid w:val="0"/>
        <w:spacing w:line="579" w:lineRule="exact"/>
        <w:ind w:firstLine="480" w:firstLineChars="200"/>
        <w:jc w:val="left"/>
        <w:textAlignment w:val="center"/>
        <w:rPr>
          <w:rFonts w:hint="eastAsia" w:ascii="Times New Roman" w:hAnsi="Times New Roman" w:eastAsia="楷体_GB2312" w:cs="Times New Roman"/>
          <w:b w:val="0"/>
          <w:color w:val="000000"/>
          <w:sz w:val="28"/>
          <w:szCs w:val="28"/>
        </w:rPr>
      </w:pPr>
      <w:r>
        <w:rPr>
          <w:rFonts w:ascii="Times New Roman" w:hAnsi="Times New Roman" w:eastAsia="楷体_GB2312" w:cs="Times New Roman"/>
          <w:sz w:val="24"/>
          <w:szCs w:val="28"/>
        </w:rPr>
        <w:t xml:space="preserve"> </w:t>
      </w:r>
      <w:r>
        <w:rPr>
          <w:rFonts w:ascii="Times New Roman" w:hAnsi="Times New Roman" w:eastAsia="楷体_GB2312" w:cs="Times New Roman"/>
          <w:sz w:val="22"/>
          <w:szCs w:val="24"/>
        </w:rPr>
        <w:t xml:space="preserve">                                         </w:t>
      </w:r>
      <w:r>
        <w:rPr>
          <w:rFonts w:hint="eastAsia" w:ascii="Times New Roman" w:hAnsi="Times New Roman" w:eastAsia="楷体_GB2312" w:cs="Times New Roman"/>
          <w:sz w:val="22"/>
          <w:szCs w:val="24"/>
          <w:lang w:val="en-US" w:eastAsia="zh-CN"/>
        </w:rPr>
        <w:t xml:space="preserve">        </w:t>
      </w:r>
      <w:r>
        <w:rPr>
          <w:rFonts w:ascii="Times New Roman" w:hAnsi="Times New Roman" w:eastAsia="楷体_GB2312" w:cs="Times New Roman"/>
          <w:sz w:val="22"/>
          <w:szCs w:val="24"/>
        </w:rPr>
        <w:t xml:space="preserve">   </w:t>
      </w:r>
      <w:r>
        <w:rPr>
          <w:rFonts w:hint="eastAsia" w:ascii="Times New Roman" w:hAnsi="Times New Roman" w:eastAsia="楷体_GB2312" w:cs="Times New Roman"/>
          <w:sz w:val="22"/>
          <w:szCs w:val="24"/>
          <w:lang w:val="en-US" w:eastAsia="zh-CN"/>
        </w:rPr>
        <w:t xml:space="preserve">  </w:t>
      </w:r>
      <w:r>
        <w:rPr>
          <w:rFonts w:hint="eastAsia" w:ascii="Times New Roman" w:hAnsi="Times New Roman" w:eastAsia="楷体_GB2312" w:cs="Times New Roman"/>
          <w:color w:val="000000"/>
          <w:sz w:val="28"/>
          <w:szCs w:val="28"/>
          <w:lang w:val="en-US" w:eastAsia="zh-CN"/>
        </w:rPr>
        <w:t xml:space="preserve">    </w:t>
      </w:r>
      <w:r>
        <w:rPr>
          <w:rFonts w:hint="eastAsia" w:ascii="Times New Roman" w:hAnsi="Times New Roman" w:eastAsia="楷体_GB2312" w:cs="Times New Roman"/>
          <w:color w:val="000000"/>
          <w:sz w:val="28"/>
          <w:szCs w:val="28"/>
        </w:rPr>
        <w:t xml:space="preserve"> 单位：万千瓦</w:t>
      </w:r>
    </w:p>
    <w:tbl>
      <w:tblPr>
        <w:tblStyle w:val="5"/>
        <w:tblW w:w="9071" w:type="dxa"/>
        <w:jc w:val="center"/>
        <w:tblInd w:w="0" w:type="dxa"/>
        <w:tblLayout w:type="fixed"/>
        <w:tblCellMar>
          <w:top w:w="0" w:type="dxa"/>
          <w:left w:w="108" w:type="dxa"/>
          <w:bottom w:w="0" w:type="dxa"/>
          <w:right w:w="108" w:type="dxa"/>
        </w:tblCellMar>
      </w:tblPr>
      <w:tblGrid>
        <w:gridCol w:w="780"/>
        <w:gridCol w:w="1202"/>
        <w:gridCol w:w="1805"/>
        <w:gridCol w:w="2320"/>
        <w:gridCol w:w="2964"/>
      </w:tblGrid>
      <w:tr>
        <w:tblPrEx>
          <w:tblLayout w:type="fixed"/>
        </w:tblPrEx>
        <w:trPr>
          <w:trHeight w:val="0" w:hRule="atLeast"/>
          <w:tblHeader/>
          <w:jc w:val="center"/>
        </w:trPr>
        <w:tc>
          <w:tcPr>
            <w:tcW w:w="780"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exact"/>
              <w:jc w:val="center"/>
              <w:rPr>
                <w:rFonts w:hint="default" w:ascii="Times New Roman" w:hAnsi="Times New Roman" w:eastAsia="黑体" w:cs="Times New Roman"/>
                <w:b w:val="0"/>
                <w:bCs/>
                <w:kern w:val="0"/>
                <w:sz w:val="24"/>
                <w:szCs w:val="24"/>
              </w:rPr>
            </w:pPr>
            <w:r>
              <w:rPr>
                <w:rFonts w:hint="default" w:ascii="Times New Roman" w:hAnsi="Times New Roman" w:eastAsia="黑体" w:cs="Times New Roman"/>
                <w:b w:val="0"/>
                <w:bCs/>
                <w:kern w:val="0"/>
                <w:sz w:val="24"/>
                <w:szCs w:val="24"/>
              </w:rPr>
              <w:t>序号</w:t>
            </w:r>
          </w:p>
        </w:tc>
        <w:tc>
          <w:tcPr>
            <w:tcW w:w="1202" w:type="dxa"/>
            <w:tcBorders>
              <w:top w:val="single" w:color="auto" w:sz="4" w:space="0"/>
              <w:left w:val="nil"/>
              <w:bottom w:val="single" w:color="auto" w:sz="4" w:space="0"/>
              <w:right w:val="single" w:color="auto" w:sz="4" w:space="0"/>
            </w:tcBorders>
            <w:vAlign w:val="center"/>
          </w:tcPr>
          <w:p>
            <w:pPr>
              <w:widowControl/>
              <w:adjustRightInd w:val="0"/>
              <w:snapToGrid w:val="0"/>
              <w:spacing w:line="360" w:lineRule="exact"/>
              <w:jc w:val="center"/>
              <w:rPr>
                <w:rFonts w:hint="default" w:ascii="Times New Roman" w:hAnsi="Times New Roman" w:eastAsia="黑体" w:cs="Times New Roman"/>
                <w:b w:val="0"/>
                <w:bCs/>
                <w:kern w:val="0"/>
                <w:sz w:val="24"/>
                <w:szCs w:val="24"/>
              </w:rPr>
            </w:pPr>
            <w:r>
              <w:rPr>
                <w:rFonts w:hint="default" w:ascii="Times New Roman" w:hAnsi="Times New Roman" w:eastAsia="黑体" w:cs="Times New Roman"/>
                <w:b w:val="0"/>
                <w:bCs/>
                <w:kern w:val="0"/>
                <w:sz w:val="24"/>
                <w:szCs w:val="24"/>
              </w:rPr>
              <w:t>地区</w:t>
            </w:r>
          </w:p>
        </w:tc>
        <w:tc>
          <w:tcPr>
            <w:tcW w:w="1805" w:type="dxa"/>
            <w:tcBorders>
              <w:top w:val="single" w:color="auto" w:sz="4" w:space="0"/>
              <w:left w:val="nil"/>
              <w:bottom w:val="single" w:color="auto" w:sz="4" w:space="0"/>
              <w:right w:val="single" w:color="auto" w:sz="4" w:space="0"/>
            </w:tcBorders>
            <w:vAlign w:val="center"/>
          </w:tcPr>
          <w:p>
            <w:pPr>
              <w:widowControl/>
              <w:adjustRightInd w:val="0"/>
              <w:snapToGrid w:val="0"/>
              <w:spacing w:line="360" w:lineRule="exact"/>
              <w:jc w:val="center"/>
              <w:rPr>
                <w:rFonts w:hint="default" w:ascii="Times New Roman" w:hAnsi="Times New Roman" w:eastAsia="黑体" w:cs="Times New Roman"/>
                <w:b w:val="0"/>
                <w:bCs/>
                <w:kern w:val="0"/>
                <w:sz w:val="24"/>
                <w:szCs w:val="24"/>
              </w:rPr>
            </w:pPr>
            <w:r>
              <w:rPr>
                <w:rFonts w:hint="default" w:ascii="Times New Roman" w:hAnsi="Times New Roman" w:eastAsia="黑体" w:cs="Times New Roman"/>
                <w:b w:val="0"/>
                <w:bCs/>
                <w:kern w:val="0"/>
                <w:sz w:val="24"/>
                <w:szCs w:val="24"/>
              </w:rPr>
              <w:t>2020年装机</w:t>
            </w:r>
          </w:p>
        </w:tc>
        <w:tc>
          <w:tcPr>
            <w:tcW w:w="2320" w:type="dxa"/>
            <w:tcBorders>
              <w:top w:val="single" w:color="auto" w:sz="4" w:space="0"/>
              <w:left w:val="nil"/>
              <w:bottom w:val="single" w:color="auto" w:sz="4" w:space="0"/>
              <w:right w:val="single" w:color="auto" w:sz="4" w:space="0"/>
            </w:tcBorders>
            <w:vAlign w:val="center"/>
          </w:tcPr>
          <w:p>
            <w:pPr>
              <w:widowControl/>
              <w:adjustRightInd w:val="0"/>
              <w:snapToGrid w:val="0"/>
              <w:spacing w:line="360" w:lineRule="exact"/>
              <w:jc w:val="center"/>
              <w:rPr>
                <w:rFonts w:hint="default" w:ascii="Times New Roman" w:hAnsi="Times New Roman" w:eastAsia="黑体" w:cs="Times New Roman"/>
                <w:b w:val="0"/>
                <w:bCs/>
                <w:kern w:val="0"/>
                <w:sz w:val="24"/>
                <w:szCs w:val="24"/>
                <w:lang w:eastAsia="zh-CN"/>
              </w:rPr>
            </w:pPr>
            <w:r>
              <w:rPr>
                <w:rFonts w:hint="default" w:ascii="Times New Roman" w:hAnsi="Times New Roman" w:eastAsia="黑体" w:cs="Times New Roman"/>
                <w:b w:val="0"/>
                <w:bCs/>
                <w:kern w:val="0"/>
                <w:sz w:val="24"/>
                <w:szCs w:val="24"/>
              </w:rPr>
              <w:t>2025年装机</w:t>
            </w:r>
          </w:p>
        </w:tc>
        <w:tc>
          <w:tcPr>
            <w:tcW w:w="2964" w:type="dxa"/>
            <w:tcBorders>
              <w:top w:val="single" w:color="auto" w:sz="4" w:space="0"/>
              <w:left w:val="nil"/>
              <w:bottom w:val="single" w:color="auto" w:sz="4" w:space="0"/>
              <w:right w:val="single" w:color="auto" w:sz="4" w:space="0"/>
            </w:tcBorders>
            <w:vAlign w:val="center"/>
          </w:tcPr>
          <w:p>
            <w:pPr>
              <w:widowControl/>
              <w:adjustRightInd w:val="0"/>
              <w:snapToGrid w:val="0"/>
              <w:spacing w:line="360" w:lineRule="exact"/>
              <w:ind w:firstLine="240" w:firstLineChars="100"/>
              <w:jc w:val="left"/>
              <w:rPr>
                <w:rFonts w:hint="default" w:ascii="Times New Roman" w:hAnsi="Times New Roman" w:eastAsia="黑体" w:cs="Times New Roman"/>
                <w:b w:val="0"/>
                <w:bCs/>
                <w:kern w:val="0"/>
                <w:sz w:val="24"/>
                <w:szCs w:val="24"/>
                <w:lang w:eastAsia="zh-CN"/>
              </w:rPr>
            </w:pPr>
            <w:r>
              <w:rPr>
                <w:rFonts w:hint="default" w:ascii="Times New Roman" w:hAnsi="Times New Roman" w:eastAsia="黑体" w:cs="Times New Roman"/>
                <w:b w:val="0"/>
                <w:bCs/>
                <w:kern w:val="0"/>
                <w:sz w:val="24"/>
                <w:szCs w:val="24"/>
              </w:rPr>
              <w:t>“十四五”新增装机</w:t>
            </w:r>
          </w:p>
        </w:tc>
      </w:tr>
      <w:tr>
        <w:tblPrEx>
          <w:tblLayout w:type="fixed"/>
        </w:tblPrEx>
        <w:trPr>
          <w:trHeight w:val="0" w:hRule="atLeast"/>
          <w:jc w:val="center"/>
        </w:trPr>
        <w:tc>
          <w:tcPr>
            <w:tcW w:w="780" w:type="dxa"/>
            <w:tcBorders>
              <w:top w:val="nil"/>
              <w:left w:val="single" w:color="auto" w:sz="4" w:space="0"/>
              <w:bottom w:val="single" w:color="auto" w:sz="4" w:space="0"/>
              <w:right w:val="single" w:color="auto" w:sz="4" w:space="0"/>
            </w:tcBorders>
            <w:vAlign w:val="center"/>
          </w:tcPr>
          <w:p>
            <w:pPr>
              <w:widowControl/>
              <w:adjustRightInd w:val="0"/>
              <w:snapToGrid w:val="0"/>
              <w:spacing w:line="360" w:lineRule="exact"/>
              <w:jc w:val="center"/>
              <w:rPr>
                <w:rFonts w:hint="default" w:ascii="Times New Roman" w:hAnsi="Times New Roman" w:eastAsia="仿宋_GB2312" w:cs="Times New Roman"/>
                <w:b w:val="0"/>
                <w:bCs/>
                <w:kern w:val="0"/>
                <w:sz w:val="24"/>
                <w:szCs w:val="24"/>
              </w:rPr>
            </w:pPr>
            <w:r>
              <w:rPr>
                <w:rFonts w:hint="default" w:ascii="Times New Roman" w:hAnsi="Times New Roman" w:eastAsia="仿宋_GB2312" w:cs="Times New Roman"/>
                <w:b w:val="0"/>
                <w:bCs/>
                <w:kern w:val="0"/>
                <w:sz w:val="24"/>
                <w:szCs w:val="24"/>
              </w:rPr>
              <w:t>1</w:t>
            </w:r>
          </w:p>
        </w:tc>
        <w:tc>
          <w:tcPr>
            <w:tcW w:w="1202" w:type="dxa"/>
            <w:tcBorders>
              <w:top w:val="nil"/>
              <w:left w:val="nil"/>
              <w:bottom w:val="single" w:color="auto" w:sz="4" w:space="0"/>
              <w:right w:val="single" w:color="auto" w:sz="4" w:space="0"/>
            </w:tcBorders>
            <w:vAlign w:val="center"/>
          </w:tcPr>
          <w:p>
            <w:pPr>
              <w:widowControl/>
              <w:adjustRightInd w:val="0"/>
              <w:snapToGrid w:val="0"/>
              <w:spacing w:line="360" w:lineRule="exact"/>
              <w:jc w:val="center"/>
              <w:rPr>
                <w:rFonts w:hint="default" w:ascii="Times New Roman" w:hAnsi="Times New Roman" w:eastAsia="仿宋_GB2312" w:cs="Times New Roman"/>
                <w:b w:val="0"/>
                <w:bCs/>
                <w:kern w:val="0"/>
                <w:sz w:val="24"/>
                <w:szCs w:val="24"/>
              </w:rPr>
            </w:pPr>
            <w:r>
              <w:rPr>
                <w:rFonts w:hint="default" w:ascii="Times New Roman" w:hAnsi="Times New Roman" w:eastAsia="仿宋_GB2312" w:cs="Times New Roman"/>
                <w:b w:val="0"/>
                <w:bCs/>
                <w:kern w:val="0"/>
                <w:sz w:val="24"/>
                <w:szCs w:val="24"/>
              </w:rPr>
              <w:t>杭州</w:t>
            </w:r>
          </w:p>
        </w:tc>
        <w:tc>
          <w:tcPr>
            <w:tcW w:w="1805" w:type="dxa"/>
            <w:tcBorders>
              <w:top w:val="nil"/>
              <w:left w:val="nil"/>
              <w:bottom w:val="single" w:color="auto" w:sz="4" w:space="0"/>
              <w:right w:val="single" w:color="auto" w:sz="4" w:space="0"/>
            </w:tcBorders>
            <w:vAlign w:val="center"/>
          </w:tcPr>
          <w:p>
            <w:pPr>
              <w:widowControl/>
              <w:adjustRightInd w:val="0"/>
              <w:snapToGrid w:val="0"/>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130</w:t>
            </w:r>
          </w:p>
        </w:tc>
        <w:tc>
          <w:tcPr>
            <w:tcW w:w="2320" w:type="dxa"/>
            <w:tcBorders>
              <w:top w:val="nil"/>
              <w:left w:val="nil"/>
              <w:bottom w:val="single" w:color="auto" w:sz="4" w:space="0"/>
              <w:right w:val="single" w:color="auto" w:sz="4" w:space="0"/>
            </w:tcBorders>
            <w:vAlign w:val="center"/>
          </w:tcPr>
          <w:p>
            <w:pPr>
              <w:widowControl/>
              <w:adjustRightInd w:val="0"/>
              <w:snapToGrid w:val="0"/>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230</w:t>
            </w:r>
          </w:p>
        </w:tc>
        <w:tc>
          <w:tcPr>
            <w:tcW w:w="2964" w:type="dxa"/>
            <w:tcBorders>
              <w:top w:val="nil"/>
              <w:left w:val="nil"/>
              <w:bottom w:val="single" w:color="auto" w:sz="4" w:space="0"/>
              <w:right w:val="single" w:color="auto" w:sz="4" w:space="0"/>
            </w:tcBorders>
            <w:vAlign w:val="center"/>
          </w:tcPr>
          <w:p>
            <w:pPr>
              <w:widowControl/>
              <w:adjustRightInd w:val="0"/>
              <w:snapToGrid w:val="0"/>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100</w:t>
            </w:r>
          </w:p>
        </w:tc>
      </w:tr>
      <w:tr>
        <w:tblPrEx>
          <w:tblLayout w:type="fixed"/>
        </w:tblPrEx>
        <w:trPr>
          <w:trHeight w:val="0" w:hRule="atLeast"/>
          <w:jc w:val="center"/>
        </w:trPr>
        <w:tc>
          <w:tcPr>
            <w:tcW w:w="780" w:type="dxa"/>
            <w:tcBorders>
              <w:top w:val="nil"/>
              <w:left w:val="single" w:color="auto" w:sz="4" w:space="0"/>
              <w:bottom w:val="single" w:color="auto" w:sz="4" w:space="0"/>
              <w:right w:val="single" w:color="auto" w:sz="4" w:space="0"/>
            </w:tcBorders>
            <w:vAlign w:val="center"/>
          </w:tcPr>
          <w:p>
            <w:pPr>
              <w:widowControl/>
              <w:adjustRightInd w:val="0"/>
              <w:snapToGrid w:val="0"/>
              <w:spacing w:line="360" w:lineRule="exact"/>
              <w:jc w:val="center"/>
              <w:rPr>
                <w:rFonts w:hint="default" w:ascii="Times New Roman" w:hAnsi="Times New Roman" w:eastAsia="仿宋_GB2312" w:cs="Times New Roman"/>
                <w:b w:val="0"/>
                <w:bCs/>
                <w:kern w:val="0"/>
                <w:sz w:val="24"/>
                <w:szCs w:val="24"/>
              </w:rPr>
            </w:pPr>
            <w:r>
              <w:rPr>
                <w:rFonts w:hint="default" w:ascii="Times New Roman" w:hAnsi="Times New Roman" w:eastAsia="仿宋_GB2312" w:cs="Times New Roman"/>
                <w:b w:val="0"/>
                <w:bCs/>
                <w:kern w:val="0"/>
                <w:sz w:val="24"/>
                <w:szCs w:val="24"/>
              </w:rPr>
              <w:t>2</w:t>
            </w:r>
          </w:p>
        </w:tc>
        <w:tc>
          <w:tcPr>
            <w:tcW w:w="1202" w:type="dxa"/>
            <w:tcBorders>
              <w:top w:val="nil"/>
              <w:left w:val="nil"/>
              <w:bottom w:val="single" w:color="auto" w:sz="4" w:space="0"/>
              <w:right w:val="single" w:color="auto" w:sz="4" w:space="0"/>
            </w:tcBorders>
            <w:vAlign w:val="center"/>
          </w:tcPr>
          <w:p>
            <w:pPr>
              <w:widowControl/>
              <w:adjustRightInd w:val="0"/>
              <w:snapToGrid w:val="0"/>
              <w:spacing w:line="360" w:lineRule="exact"/>
              <w:jc w:val="center"/>
              <w:rPr>
                <w:rFonts w:hint="default" w:ascii="Times New Roman" w:hAnsi="Times New Roman" w:eastAsia="仿宋_GB2312" w:cs="Times New Roman"/>
                <w:b w:val="0"/>
                <w:bCs/>
                <w:kern w:val="0"/>
                <w:sz w:val="24"/>
                <w:szCs w:val="24"/>
              </w:rPr>
            </w:pPr>
            <w:r>
              <w:rPr>
                <w:rFonts w:hint="default" w:ascii="Times New Roman" w:hAnsi="Times New Roman" w:eastAsia="仿宋_GB2312" w:cs="Times New Roman"/>
                <w:b w:val="0"/>
                <w:bCs/>
                <w:kern w:val="0"/>
                <w:sz w:val="24"/>
                <w:szCs w:val="24"/>
              </w:rPr>
              <w:t>宁波</w:t>
            </w:r>
          </w:p>
        </w:tc>
        <w:tc>
          <w:tcPr>
            <w:tcW w:w="1805" w:type="dxa"/>
            <w:tcBorders>
              <w:top w:val="nil"/>
              <w:left w:val="nil"/>
              <w:bottom w:val="single" w:color="auto" w:sz="4" w:space="0"/>
              <w:right w:val="single" w:color="auto" w:sz="4" w:space="0"/>
            </w:tcBorders>
            <w:vAlign w:val="center"/>
          </w:tcPr>
          <w:p>
            <w:pPr>
              <w:widowControl/>
              <w:adjustRightInd w:val="0"/>
              <w:snapToGrid w:val="0"/>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274</w:t>
            </w:r>
          </w:p>
        </w:tc>
        <w:tc>
          <w:tcPr>
            <w:tcW w:w="2320" w:type="dxa"/>
            <w:tcBorders>
              <w:top w:val="nil"/>
              <w:left w:val="nil"/>
              <w:bottom w:val="single" w:color="auto" w:sz="4" w:space="0"/>
              <w:right w:val="single" w:color="auto" w:sz="4" w:space="0"/>
            </w:tcBorders>
            <w:vAlign w:val="center"/>
          </w:tcPr>
          <w:p>
            <w:pPr>
              <w:widowControl/>
              <w:adjustRightInd w:val="0"/>
              <w:snapToGrid w:val="0"/>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474</w:t>
            </w:r>
          </w:p>
        </w:tc>
        <w:tc>
          <w:tcPr>
            <w:tcW w:w="2964" w:type="dxa"/>
            <w:tcBorders>
              <w:top w:val="nil"/>
              <w:left w:val="nil"/>
              <w:bottom w:val="single" w:color="auto" w:sz="4" w:space="0"/>
              <w:right w:val="single" w:color="auto" w:sz="4" w:space="0"/>
            </w:tcBorders>
            <w:vAlign w:val="center"/>
          </w:tcPr>
          <w:p>
            <w:pPr>
              <w:widowControl/>
              <w:adjustRightInd w:val="0"/>
              <w:snapToGrid w:val="0"/>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200</w:t>
            </w:r>
          </w:p>
        </w:tc>
      </w:tr>
      <w:tr>
        <w:tblPrEx>
          <w:tblLayout w:type="fixed"/>
        </w:tblPrEx>
        <w:trPr>
          <w:trHeight w:val="0" w:hRule="atLeast"/>
          <w:jc w:val="center"/>
        </w:trPr>
        <w:tc>
          <w:tcPr>
            <w:tcW w:w="780" w:type="dxa"/>
            <w:tcBorders>
              <w:top w:val="nil"/>
              <w:left w:val="single" w:color="auto" w:sz="4" w:space="0"/>
              <w:bottom w:val="single" w:color="auto" w:sz="4" w:space="0"/>
              <w:right w:val="single" w:color="auto" w:sz="4" w:space="0"/>
            </w:tcBorders>
            <w:vAlign w:val="center"/>
          </w:tcPr>
          <w:p>
            <w:pPr>
              <w:widowControl/>
              <w:adjustRightInd w:val="0"/>
              <w:snapToGrid w:val="0"/>
              <w:spacing w:line="360" w:lineRule="exact"/>
              <w:jc w:val="center"/>
              <w:rPr>
                <w:rFonts w:hint="default" w:ascii="Times New Roman" w:hAnsi="Times New Roman" w:eastAsia="仿宋_GB2312" w:cs="Times New Roman"/>
                <w:b w:val="0"/>
                <w:bCs/>
                <w:kern w:val="0"/>
                <w:sz w:val="24"/>
                <w:szCs w:val="24"/>
              </w:rPr>
            </w:pPr>
            <w:r>
              <w:rPr>
                <w:rFonts w:hint="default" w:ascii="Times New Roman" w:hAnsi="Times New Roman" w:eastAsia="仿宋_GB2312" w:cs="Times New Roman"/>
                <w:b w:val="0"/>
                <w:bCs/>
                <w:kern w:val="0"/>
                <w:sz w:val="24"/>
                <w:szCs w:val="24"/>
              </w:rPr>
              <w:t>3</w:t>
            </w:r>
          </w:p>
        </w:tc>
        <w:tc>
          <w:tcPr>
            <w:tcW w:w="1202" w:type="dxa"/>
            <w:tcBorders>
              <w:top w:val="nil"/>
              <w:left w:val="nil"/>
              <w:bottom w:val="single" w:color="auto" w:sz="4" w:space="0"/>
              <w:right w:val="single" w:color="auto" w:sz="4" w:space="0"/>
            </w:tcBorders>
            <w:vAlign w:val="center"/>
          </w:tcPr>
          <w:p>
            <w:pPr>
              <w:widowControl/>
              <w:adjustRightInd w:val="0"/>
              <w:snapToGrid w:val="0"/>
              <w:spacing w:line="360" w:lineRule="exact"/>
              <w:jc w:val="center"/>
              <w:rPr>
                <w:rFonts w:hint="default" w:ascii="Times New Roman" w:hAnsi="Times New Roman" w:eastAsia="仿宋_GB2312" w:cs="Times New Roman"/>
                <w:b w:val="0"/>
                <w:bCs/>
                <w:kern w:val="0"/>
                <w:sz w:val="24"/>
                <w:szCs w:val="24"/>
              </w:rPr>
            </w:pPr>
            <w:r>
              <w:rPr>
                <w:rFonts w:hint="default" w:ascii="Times New Roman" w:hAnsi="Times New Roman" w:eastAsia="仿宋_GB2312" w:cs="Times New Roman"/>
                <w:b w:val="0"/>
                <w:bCs/>
                <w:kern w:val="0"/>
                <w:sz w:val="24"/>
                <w:szCs w:val="24"/>
              </w:rPr>
              <w:t>温州</w:t>
            </w:r>
          </w:p>
        </w:tc>
        <w:tc>
          <w:tcPr>
            <w:tcW w:w="1805" w:type="dxa"/>
            <w:tcBorders>
              <w:top w:val="nil"/>
              <w:left w:val="nil"/>
              <w:bottom w:val="single" w:color="auto" w:sz="4" w:space="0"/>
              <w:right w:val="single" w:color="auto" w:sz="4" w:space="0"/>
            </w:tcBorders>
            <w:vAlign w:val="center"/>
          </w:tcPr>
          <w:p>
            <w:pPr>
              <w:widowControl/>
              <w:adjustRightInd w:val="0"/>
              <w:snapToGrid w:val="0"/>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90</w:t>
            </w:r>
          </w:p>
        </w:tc>
        <w:tc>
          <w:tcPr>
            <w:tcW w:w="2320" w:type="dxa"/>
            <w:tcBorders>
              <w:top w:val="nil"/>
              <w:left w:val="nil"/>
              <w:bottom w:val="single" w:color="auto" w:sz="4" w:space="0"/>
              <w:right w:val="single" w:color="auto" w:sz="4" w:space="0"/>
            </w:tcBorders>
            <w:vAlign w:val="center"/>
          </w:tcPr>
          <w:p>
            <w:pPr>
              <w:widowControl/>
              <w:adjustRightInd w:val="0"/>
              <w:snapToGrid w:val="0"/>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290</w:t>
            </w:r>
          </w:p>
        </w:tc>
        <w:tc>
          <w:tcPr>
            <w:tcW w:w="2964" w:type="dxa"/>
            <w:tcBorders>
              <w:top w:val="nil"/>
              <w:left w:val="nil"/>
              <w:bottom w:val="single" w:color="auto" w:sz="4" w:space="0"/>
              <w:right w:val="single" w:color="auto" w:sz="4" w:space="0"/>
            </w:tcBorders>
            <w:vAlign w:val="center"/>
          </w:tcPr>
          <w:p>
            <w:pPr>
              <w:widowControl/>
              <w:adjustRightInd w:val="0"/>
              <w:snapToGrid w:val="0"/>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200</w:t>
            </w:r>
          </w:p>
        </w:tc>
      </w:tr>
      <w:tr>
        <w:tblPrEx>
          <w:tblLayout w:type="fixed"/>
        </w:tblPrEx>
        <w:trPr>
          <w:trHeight w:val="0" w:hRule="atLeast"/>
          <w:jc w:val="center"/>
        </w:trPr>
        <w:tc>
          <w:tcPr>
            <w:tcW w:w="780" w:type="dxa"/>
            <w:tcBorders>
              <w:top w:val="nil"/>
              <w:left w:val="single" w:color="auto" w:sz="4" w:space="0"/>
              <w:bottom w:val="single" w:color="auto" w:sz="4" w:space="0"/>
              <w:right w:val="single" w:color="auto" w:sz="4" w:space="0"/>
            </w:tcBorders>
            <w:vAlign w:val="center"/>
          </w:tcPr>
          <w:p>
            <w:pPr>
              <w:widowControl/>
              <w:adjustRightInd w:val="0"/>
              <w:snapToGrid w:val="0"/>
              <w:spacing w:line="360" w:lineRule="exact"/>
              <w:jc w:val="center"/>
              <w:rPr>
                <w:rFonts w:hint="default" w:ascii="Times New Roman" w:hAnsi="Times New Roman" w:eastAsia="仿宋_GB2312" w:cs="Times New Roman"/>
                <w:b w:val="0"/>
                <w:bCs/>
                <w:kern w:val="0"/>
                <w:sz w:val="24"/>
                <w:szCs w:val="24"/>
              </w:rPr>
            </w:pPr>
            <w:r>
              <w:rPr>
                <w:rFonts w:hint="default" w:ascii="Times New Roman" w:hAnsi="Times New Roman" w:eastAsia="仿宋_GB2312" w:cs="Times New Roman"/>
                <w:b w:val="0"/>
                <w:bCs/>
                <w:kern w:val="0"/>
                <w:sz w:val="24"/>
                <w:szCs w:val="24"/>
              </w:rPr>
              <w:t>4</w:t>
            </w:r>
          </w:p>
        </w:tc>
        <w:tc>
          <w:tcPr>
            <w:tcW w:w="1202" w:type="dxa"/>
            <w:tcBorders>
              <w:top w:val="nil"/>
              <w:left w:val="nil"/>
              <w:bottom w:val="single" w:color="auto" w:sz="4" w:space="0"/>
              <w:right w:val="single" w:color="auto" w:sz="4" w:space="0"/>
            </w:tcBorders>
            <w:vAlign w:val="center"/>
          </w:tcPr>
          <w:p>
            <w:pPr>
              <w:widowControl/>
              <w:adjustRightInd w:val="0"/>
              <w:snapToGrid w:val="0"/>
              <w:spacing w:line="360" w:lineRule="exact"/>
              <w:jc w:val="center"/>
              <w:rPr>
                <w:rFonts w:hint="default" w:ascii="Times New Roman" w:hAnsi="Times New Roman" w:eastAsia="仿宋_GB2312" w:cs="Times New Roman"/>
                <w:b w:val="0"/>
                <w:bCs/>
                <w:kern w:val="0"/>
                <w:sz w:val="24"/>
                <w:szCs w:val="24"/>
              </w:rPr>
            </w:pPr>
            <w:r>
              <w:rPr>
                <w:rFonts w:hint="default" w:ascii="Times New Roman" w:hAnsi="Times New Roman" w:eastAsia="仿宋_GB2312" w:cs="Times New Roman"/>
                <w:b w:val="0"/>
                <w:bCs/>
                <w:kern w:val="0"/>
                <w:sz w:val="24"/>
                <w:szCs w:val="24"/>
              </w:rPr>
              <w:t>湖州</w:t>
            </w:r>
          </w:p>
        </w:tc>
        <w:tc>
          <w:tcPr>
            <w:tcW w:w="1805" w:type="dxa"/>
            <w:tcBorders>
              <w:top w:val="nil"/>
              <w:left w:val="nil"/>
              <w:bottom w:val="single" w:color="auto" w:sz="4" w:space="0"/>
              <w:right w:val="single" w:color="auto" w:sz="4" w:space="0"/>
            </w:tcBorders>
            <w:vAlign w:val="center"/>
          </w:tcPr>
          <w:p>
            <w:pPr>
              <w:widowControl/>
              <w:adjustRightInd w:val="0"/>
              <w:snapToGrid w:val="0"/>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177</w:t>
            </w:r>
          </w:p>
        </w:tc>
        <w:tc>
          <w:tcPr>
            <w:tcW w:w="2320" w:type="dxa"/>
            <w:tcBorders>
              <w:top w:val="nil"/>
              <w:left w:val="nil"/>
              <w:bottom w:val="single" w:color="auto" w:sz="4" w:space="0"/>
              <w:right w:val="single" w:color="auto" w:sz="4" w:space="0"/>
            </w:tcBorders>
            <w:vAlign w:val="center"/>
          </w:tcPr>
          <w:p>
            <w:pPr>
              <w:widowControl/>
              <w:adjustRightInd w:val="0"/>
              <w:snapToGrid w:val="0"/>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277</w:t>
            </w:r>
          </w:p>
        </w:tc>
        <w:tc>
          <w:tcPr>
            <w:tcW w:w="2964" w:type="dxa"/>
            <w:tcBorders>
              <w:top w:val="nil"/>
              <w:left w:val="nil"/>
              <w:bottom w:val="single" w:color="auto" w:sz="4" w:space="0"/>
              <w:right w:val="single" w:color="auto" w:sz="4" w:space="0"/>
            </w:tcBorders>
            <w:vAlign w:val="center"/>
          </w:tcPr>
          <w:p>
            <w:pPr>
              <w:widowControl/>
              <w:adjustRightInd w:val="0"/>
              <w:snapToGrid w:val="0"/>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100</w:t>
            </w:r>
          </w:p>
        </w:tc>
      </w:tr>
      <w:tr>
        <w:tblPrEx>
          <w:tblLayout w:type="fixed"/>
        </w:tblPrEx>
        <w:trPr>
          <w:trHeight w:val="0" w:hRule="atLeast"/>
          <w:jc w:val="center"/>
        </w:trPr>
        <w:tc>
          <w:tcPr>
            <w:tcW w:w="780" w:type="dxa"/>
            <w:tcBorders>
              <w:top w:val="nil"/>
              <w:left w:val="single" w:color="auto" w:sz="4" w:space="0"/>
              <w:bottom w:val="single" w:color="auto" w:sz="4" w:space="0"/>
              <w:right w:val="single" w:color="auto" w:sz="4" w:space="0"/>
            </w:tcBorders>
            <w:vAlign w:val="center"/>
          </w:tcPr>
          <w:p>
            <w:pPr>
              <w:widowControl/>
              <w:adjustRightInd w:val="0"/>
              <w:snapToGrid w:val="0"/>
              <w:spacing w:line="360" w:lineRule="exact"/>
              <w:jc w:val="center"/>
              <w:rPr>
                <w:rFonts w:hint="default" w:ascii="Times New Roman" w:hAnsi="Times New Roman" w:eastAsia="仿宋_GB2312" w:cs="Times New Roman"/>
                <w:b w:val="0"/>
                <w:bCs/>
                <w:kern w:val="0"/>
                <w:sz w:val="24"/>
                <w:szCs w:val="24"/>
              </w:rPr>
            </w:pPr>
            <w:r>
              <w:rPr>
                <w:rFonts w:hint="default" w:ascii="Times New Roman" w:hAnsi="Times New Roman" w:eastAsia="仿宋_GB2312" w:cs="Times New Roman"/>
                <w:b w:val="0"/>
                <w:bCs/>
                <w:kern w:val="0"/>
                <w:sz w:val="24"/>
                <w:szCs w:val="24"/>
              </w:rPr>
              <w:t>5</w:t>
            </w:r>
          </w:p>
        </w:tc>
        <w:tc>
          <w:tcPr>
            <w:tcW w:w="1202" w:type="dxa"/>
            <w:tcBorders>
              <w:top w:val="nil"/>
              <w:left w:val="nil"/>
              <w:bottom w:val="single" w:color="auto" w:sz="4" w:space="0"/>
              <w:right w:val="single" w:color="auto" w:sz="4" w:space="0"/>
            </w:tcBorders>
            <w:vAlign w:val="center"/>
          </w:tcPr>
          <w:p>
            <w:pPr>
              <w:widowControl/>
              <w:adjustRightInd w:val="0"/>
              <w:snapToGrid w:val="0"/>
              <w:spacing w:line="360" w:lineRule="exact"/>
              <w:jc w:val="center"/>
              <w:rPr>
                <w:rFonts w:hint="default" w:ascii="Times New Roman" w:hAnsi="Times New Roman" w:eastAsia="仿宋_GB2312" w:cs="Times New Roman"/>
                <w:b w:val="0"/>
                <w:bCs/>
                <w:kern w:val="0"/>
                <w:sz w:val="24"/>
                <w:szCs w:val="24"/>
              </w:rPr>
            </w:pPr>
            <w:r>
              <w:rPr>
                <w:rFonts w:hint="default" w:ascii="Times New Roman" w:hAnsi="Times New Roman" w:eastAsia="仿宋_GB2312" w:cs="Times New Roman"/>
                <w:b w:val="0"/>
                <w:bCs/>
                <w:kern w:val="0"/>
                <w:sz w:val="24"/>
                <w:szCs w:val="24"/>
              </w:rPr>
              <w:t>嘉兴</w:t>
            </w:r>
          </w:p>
        </w:tc>
        <w:tc>
          <w:tcPr>
            <w:tcW w:w="1805" w:type="dxa"/>
            <w:tcBorders>
              <w:top w:val="nil"/>
              <w:left w:val="nil"/>
              <w:bottom w:val="single" w:color="auto" w:sz="4" w:space="0"/>
              <w:right w:val="single" w:color="auto" w:sz="4" w:space="0"/>
            </w:tcBorders>
            <w:vAlign w:val="center"/>
          </w:tcPr>
          <w:p>
            <w:pPr>
              <w:widowControl/>
              <w:adjustRightInd w:val="0"/>
              <w:snapToGrid w:val="0"/>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270</w:t>
            </w:r>
          </w:p>
        </w:tc>
        <w:tc>
          <w:tcPr>
            <w:tcW w:w="2320" w:type="dxa"/>
            <w:tcBorders>
              <w:top w:val="nil"/>
              <w:left w:val="nil"/>
              <w:bottom w:val="single" w:color="auto" w:sz="4" w:space="0"/>
              <w:right w:val="single" w:color="auto" w:sz="4" w:space="0"/>
            </w:tcBorders>
            <w:vAlign w:val="center"/>
          </w:tcPr>
          <w:p>
            <w:pPr>
              <w:widowControl/>
              <w:adjustRightInd w:val="0"/>
              <w:snapToGrid w:val="0"/>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370</w:t>
            </w:r>
          </w:p>
        </w:tc>
        <w:tc>
          <w:tcPr>
            <w:tcW w:w="2964" w:type="dxa"/>
            <w:tcBorders>
              <w:top w:val="nil"/>
              <w:left w:val="nil"/>
              <w:bottom w:val="single" w:color="auto" w:sz="4" w:space="0"/>
              <w:right w:val="single" w:color="auto" w:sz="4" w:space="0"/>
            </w:tcBorders>
            <w:vAlign w:val="center"/>
          </w:tcPr>
          <w:p>
            <w:pPr>
              <w:widowControl/>
              <w:adjustRightInd w:val="0"/>
              <w:snapToGrid w:val="0"/>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100</w:t>
            </w:r>
          </w:p>
        </w:tc>
      </w:tr>
      <w:tr>
        <w:tblPrEx>
          <w:tblLayout w:type="fixed"/>
        </w:tblPrEx>
        <w:trPr>
          <w:trHeight w:val="0" w:hRule="atLeast"/>
          <w:jc w:val="center"/>
        </w:trPr>
        <w:tc>
          <w:tcPr>
            <w:tcW w:w="780" w:type="dxa"/>
            <w:tcBorders>
              <w:top w:val="nil"/>
              <w:left w:val="single" w:color="auto" w:sz="4" w:space="0"/>
              <w:bottom w:val="single" w:color="auto" w:sz="4" w:space="0"/>
              <w:right w:val="single" w:color="auto" w:sz="4" w:space="0"/>
            </w:tcBorders>
            <w:vAlign w:val="center"/>
          </w:tcPr>
          <w:p>
            <w:pPr>
              <w:widowControl/>
              <w:adjustRightInd w:val="0"/>
              <w:snapToGrid w:val="0"/>
              <w:spacing w:line="360" w:lineRule="exact"/>
              <w:jc w:val="center"/>
              <w:rPr>
                <w:rFonts w:hint="default" w:ascii="Times New Roman" w:hAnsi="Times New Roman" w:eastAsia="仿宋_GB2312" w:cs="Times New Roman"/>
                <w:b w:val="0"/>
                <w:bCs/>
                <w:kern w:val="0"/>
                <w:sz w:val="24"/>
                <w:szCs w:val="24"/>
              </w:rPr>
            </w:pPr>
            <w:r>
              <w:rPr>
                <w:rFonts w:hint="default" w:ascii="Times New Roman" w:hAnsi="Times New Roman" w:eastAsia="仿宋_GB2312" w:cs="Times New Roman"/>
                <w:b w:val="0"/>
                <w:bCs/>
                <w:kern w:val="0"/>
                <w:sz w:val="24"/>
                <w:szCs w:val="24"/>
              </w:rPr>
              <w:t>6</w:t>
            </w:r>
          </w:p>
        </w:tc>
        <w:tc>
          <w:tcPr>
            <w:tcW w:w="1202" w:type="dxa"/>
            <w:tcBorders>
              <w:top w:val="nil"/>
              <w:left w:val="nil"/>
              <w:bottom w:val="single" w:color="auto" w:sz="4" w:space="0"/>
              <w:right w:val="single" w:color="auto" w:sz="4" w:space="0"/>
            </w:tcBorders>
            <w:vAlign w:val="center"/>
          </w:tcPr>
          <w:p>
            <w:pPr>
              <w:widowControl/>
              <w:adjustRightInd w:val="0"/>
              <w:snapToGrid w:val="0"/>
              <w:spacing w:line="360" w:lineRule="exact"/>
              <w:jc w:val="center"/>
              <w:rPr>
                <w:rFonts w:hint="default" w:ascii="Times New Roman" w:hAnsi="Times New Roman" w:eastAsia="仿宋_GB2312" w:cs="Times New Roman"/>
                <w:b w:val="0"/>
                <w:bCs/>
                <w:kern w:val="0"/>
                <w:sz w:val="24"/>
                <w:szCs w:val="24"/>
              </w:rPr>
            </w:pPr>
            <w:r>
              <w:rPr>
                <w:rFonts w:hint="default" w:ascii="Times New Roman" w:hAnsi="Times New Roman" w:eastAsia="仿宋_GB2312" w:cs="Times New Roman"/>
                <w:b w:val="0"/>
                <w:bCs/>
                <w:kern w:val="0"/>
                <w:sz w:val="24"/>
                <w:szCs w:val="24"/>
              </w:rPr>
              <w:t>绍兴</w:t>
            </w:r>
          </w:p>
        </w:tc>
        <w:tc>
          <w:tcPr>
            <w:tcW w:w="1805" w:type="dxa"/>
            <w:tcBorders>
              <w:top w:val="nil"/>
              <w:left w:val="nil"/>
              <w:bottom w:val="single" w:color="auto" w:sz="4" w:space="0"/>
              <w:right w:val="single" w:color="auto" w:sz="4" w:space="0"/>
            </w:tcBorders>
            <w:vAlign w:val="center"/>
          </w:tcPr>
          <w:p>
            <w:pPr>
              <w:widowControl/>
              <w:adjustRightInd w:val="0"/>
              <w:snapToGrid w:val="0"/>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107</w:t>
            </w:r>
          </w:p>
        </w:tc>
        <w:tc>
          <w:tcPr>
            <w:tcW w:w="2320" w:type="dxa"/>
            <w:tcBorders>
              <w:top w:val="nil"/>
              <w:left w:val="nil"/>
              <w:bottom w:val="single" w:color="auto" w:sz="4" w:space="0"/>
              <w:right w:val="single" w:color="auto" w:sz="4" w:space="0"/>
            </w:tcBorders>
            <w:vAlign w:val="center"/>
          </w:tcPr>
          <w:p>
            <w:pPr>
              <w:widowControl/>
              <w:adjustRightInd w:val="0"/>
              <w:snapToGrid w:val="0"/>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207</w:t>
            </w:r>
          </w:p>
        </w:tc>
        <w:tc>
          <w:tcPr>
            <w:tcW w:w="2964" w:type="dxa"/>
            <w:tcBorders>
              <w:top w:val="nil"/>
              <w:left w:val="nil"/>
              <w:bottom w:val="single" w:color="auto" w:sz="4" w:space="0"/>
              <w:right w:val="single" w:color="auto" w:sz="4" w:space="0"/>
            </w:tcBorders>
            <w:vAlign w:val="center"/>
          </w:tcPr>
          <w:p>
            <w:pPr>
              <w:widowControl/>
              <w:adjustRightInd w:val="0"/>
              <w:snapToGrid w:val="0"/>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100</w:t>
            </w:r>
          </w:p>
        </w:tc>
      </w:tr>
      <w:tr>
        <w:tblPrEx>
          <w:tblLayout w:type="fixed"/>
        </w:tblPrEx>
        <w:trPr>
          <w:trHeight w:val="0" w:hRule="atLeast"/>
          <w:jc w:val="center"/>
        </w:trPr>
        <w:tc>
          <w:tcPr>
            <w:tcW w:w="780" w:type="dxa"/>
            <w:tcBorders>
              <w:top w:val="nil"/>
              <w:left w:val="single" w:color="auto" w:sz="4" w:space="0"/>
              <w:bottom w:val="single" w:color="auto" w:sz="4" w:space="0"/>
              <w:right w:val="single" w:color="auto" w:sz="4" w:space="0"/>
            </w:tcBorders>
            <w:vAlign w:val="center"/>
          </w:tcPr>
          <w:p>
            <w:pPr>
              <w:widowControl/>
              <w:adjustRightInd w:val="0"/>
              <w:snapToGrid w:val="0"/>
              <w:spacing w:line="360" w:lineRule="exact"/>
              <w:jc w:val="center"/>
              <w:rPr>
                <w:rFonts w:hint="default" w:ascii="Times New Roman" w:hAnsi="Times New Roman" w:eastAsia="仿宋_GB2312" w:cs="Times New Roman"/>
                <w:b w:val="0"/>
                <w:bCs/>
                <w:kern w:val="0"/>
                <w:sz w:val="24"/>
                <w:szCs w:val="24"/>
              </w:rPr>
            </w:pPr>
            <w:r>
              <w:rPr>
                <w:rFonts w:hint="default" w:ascii="Times New Roman" w:hAnsi="Times New Roman" w:eastAsia="仿宋_GB2312" w:cs="Times New Roman"/>
                <w:b w:val="0"/>
                <w:bCs/>
                <w:kern w:val="0"/>
                <w:sz w:val="24"/>
                <w:szCs w:val="24"/>
              </w:rPr>
              <w:t>7</w:t>
            </w:r>
          </w:p>
        </w:tc>
        <w:tc>
          <w:tcPr>
            <w:tcW w:w="1202" w:type="dxa"/>
            <w:tcBorders>
              <w:top w:val="nil"/>
              <w:left w:val="nil"/>
              <w:bottom w:val="single" w:color="auto" w:sz="4" w:space="0"/>
              <w:right w:val="single" w:color="auto" w:sz="4" w:space="0"/>
            </w:tcBorders>
            <w:vAlign w:val="center"/>
          </w:tcPr>
          <w:p>
            <w:pPr>
              <w:widowControl/>
              <w:adjustRightInd w:val="0"/>
              <w:snapToGrid w:val="0"/>
              <w:spacing w:line="360" w:lineRule="exact"/>
              <w:jc w:val="center"/>
              <w:rPr>
                <w:rFonts w:hint="default" w:ascii="Times New Roman" w:hAnsi="Times New Roman" w:eastAsia="仿宋_GB2312" w:cs="Times New Roman"/>
                <w:b w:val="0"/>
                <w:bCs/>
                <w:kern w:val="0"/>
                <w:sz w:val="24"/>
                <w:szCs w:val="24"/>
              </w:rPr>
            </w:pPr>
            <w:r>
              <w:rPr>
                <w:rFonts w:hint="default" w:ascii="Times New Roman" w:hAnsi="Times New Roman" w:eastAsia="仿宋_GB2312" w:cs="Times New Roman"/>
                <w:b w:val="0"/>
                <w:bCs/>
                <w:kern w:val="0"/>
                <w:sz w:val="24"/>
                <w:szCs w:val="24"/>
              </w:rPr>
              <w:t>金华</w:t>
            </w:r>
          </w:p>
        </w:tc>
        <w:tc>
          <w:tcPr>
            <w:tcW w:w="1805" w:type="dxa"/>
            <w:tcBorders>
              <w:top w:val="nil"/>
              <w:left w:val="nil"/>
              <w:bottom w:val="single" w:color="auto" w:sz="4" w:space="0"/>
              <w:right w:val="single" w:color="auto" w:sz="4" w:space="0"/>
            </w:tcBorders>
            <w:vAlign w:val="center"/>
          </w:tcPr>
          <w:p>
            <w:pPr>
              <w:widowControl/>
              <w:adjustRightInd w:val="0"/>
              <w:snapToGrid w:val="0"/>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119</w:t>
            </w:r>
          </w:p>
        </w:tc>
        <w:tc>
          <w:tcPr>
            <w:tcW w:w="2320" w:type="dxa"/>
            <w:tcBorders>
              <w:top w:val="nil"/>
              <w:left w:val="nil"/>
              <w:bottom w:val="single" w:color="auto" w:sz="4" w:space="0"/>
              <w:right w:val="single" w:color="auto" w:sz="4" w:space="0"/>
            </w:tcBorders>
            <w:vAlign w:val="center"/>
          </w:tcPr>
          <w:p>
            <w:pPr>
              <w:widowControl/>
              <w:adjustRightInd w:val="0"/>
              <w:snapToGrid w:val="0"/>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219</w:t>
            </w:r>
          </w:p>
        </w:tc>
        <w:tc>
          <w:tcPr>
            <w:tcW w:w="2964" w:type="dxa"/>
            <w:tcBorders>
              <w:top w:val="nil"/>
              <w:left w:val="nil"/>
              <w:bottom w:val="single" w:color="auto" w:sz="4" w:space="0"/>
              <w:right w:val="single" w:color="auto" w:sz="4" w:space="0"/>
            </w:tcBorders>
            <w:vAlign w:val="center"/>
          </w:tcPr>
          <w:p>
            <w:pPr>
              <w:widowControl/>
              <w:adjustRightInd w:val="0"/>
              <w:snapToGrid w:val="0"/>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100</w:t>
            </w:r>
          </w:p>
        </w:tc>
      </w:tr>
      <w:tr>
        <w:tblPrEx>
          <w:tblLayout w:type="fixed"/>
        </w:tblPrEx>
        <w:trPr>
          <w:trHeight w:val="0" w:hRule="atLeast"/>
          <w:jc w:val="center"/>
        </w:trPr>
        <w:tc>
          <w:tcPr>
            <w:tcW w:w="780" w:type="dxa"/>
            <w:tcBorders>
              <w:top w:val="nil"/>
              <w:left w:val="single" w:color="auto" w:sz="4" w:space="0"/>
              <w:bottom w:val="single" w:color="auto" w:sz="4" w:space="0"/>
              <w:right w:val="single" w:color="auto" w:sz="4" w:space="0"/>
            </w:tcBorders>
            <w:vAlign w:val="center"/>
          </w:tcPr>
          <w:p>
            <w:pPr>
              <w:widowControl/>
              <w:adjustRightInd w:val="0"/>
              <w:snapToGrid w:val="0"/>
              <w:spacing w:line="360" w:lineRule="exact"/>
              <w:jc w:val="center"/>
              <w:rPr>
                <w:rFonts w:hint="default" w:ascii="Times New Roman" w:hAnsi="Times New Roman" w:eastAsia="仿宋_GB2312" w:cs="Times New Roman"/>
                <w:b w:val="0"/>
                <w:bCs/>
                <w:kern w:val="0"/>
                <w:sz w:val="24"/>
                <w:szCs w:val="24"/>
              </w:rPr>
            </w:pPr>
            <w:r>
              <w:rPr>
                <w:rFonts w:hint="default" w:ascii="Times New Roman" w:hAnsi="Times New Roman" w:eastAsia="仿宋_GB2312" w:cs="Times New Roman"/>
                <w:b w:val="0"/>
                <w:bCs/>
                <w:kern w:val="0"/>
                <w:sz w:val="24"/>
                <w:szCs w:val="24"/>
              </w:rPr>
              <w:t>8</w:t>
            </w:r>
          </w:p>
        </w:tc>
        <w:tc>
          <w:tcPr>
            <w:tcW w:w="1202" w:type="dxa"/>
            <w:tcBorders>
              <w:top w:val="nil"/>
              <w:left w:val="nil"/>
              <w:bottom w:val="single" w:color="auto" w:sz="4" w:space="0"/>
              <w:right w:val="single" w:color="auto" w:sz="4" w:space="0"/>
            </w:tcBorders>
            <w:vAlign w:val="center"/>
          </w:tcPr>
          <w:p>
            <w:pPr>
              <w:widowControl/>
              <w:adjustRightInd w:val="0"/>
              <w:snapToGrid w:val="0"/>
              <w:spacing w:line="360" w:lineRule="exact"/>
              <w:jc w:val="center"/>
              <w:rPr>
                <w:rFonts w:hint="default" w:ascii="Times New Roman" w:hAnsi="Times New Roman" w:eastAsia="仿宋_GB2312" w:cs="Times New Roman"/>
                <w:b w:val="0"/>
                <w:bCs/>
                <w:kern w:val="0"/>
                <w:sz w:val="24"/>
                <w:szCs w:val="24"/>
              </w:rPr>
            </w:pPr>
            <w:r>
              <w:rPr>
                <w:rFonts w:hint="default" w:ascii="Times New Roman" w:hAnsi="Times New Roman" w:eastAsia="仿宋_GB2312" w:cs="Times New Roman"/>
                <w:b w:val="0"/>
                <w:bCs/>
                <w:kern w:val="0"/>
                <w:sz w:val="24"/>
                <w:szCs w:val="24"/>
              </w:rPr>
              <w:t>衢州</w:t>
            </w:r>
          </w:p>
        </w:tc>
        <w:tc>
          <w:tcPr>
            <w:tcW w:w="1805" w:type="dxa"/>
            <w:tcBorders>
              <w:top w:val="nil"/>
              <w:left w:val="nil"/>
              <w:bottom w:val="single" w:color="auto" w:sz="4" w:space="0"/>
              <w:right w:val="single" w:color="auto" w:sz="4" w:space="0"/>
            </w:tcBorders>
            <w:vAlign w:val="center"/>
          </w:tcPr>
          <w:p>
            <w:pPr>
              <w:widowControl/>
              <w:adjustRightInd w:val="0"/>
              <w:snapToGrid w:val="0"/>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154</w:t>
            </w:r>
          </w:p>
        </w:tc>
        <w:tc>
          <w:tcPr>
            <w:tcW w:w="2320" w:type="dxa"/>
            <w:tcBorders>
              <w:top w:val="nil"/>
              <w:left w:val="nil"/>
              <w:bottom w:val="single" w:color="auto" w:sz="4" w:space="0"/>
              <w:right w:val="single" w:color="auto" w:sz="4" w:space="0"/>
            </w:tcBorders>
            <w:vAlign w:val="center"/>
          </w:tcPr>
          <w:p>
            <w:pPr>
              <w:widowControl/>
              <w:adjustRightInd w:val="0"/>
              <w:snapToGrid w:val="0"/>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304</w:t>
            </w:r>
          </w:p>
        </w:tc>
        <w:tc>
          <w:tcPr>
            <w:tcW w:w="2964" w:type="dxa"/>
            <w:tcBorders>
              <w:top w:val="nil"/>
              <w:left w:val="nil"/>
              <w:bottom w:val="single" w:color="auto" w:sz="4" w:space="0"/>
              <w:right w:val="single" w:color="auto" w:sz="4" w:space="0"/>
            </w:tcBorders>
            <w:vAlign w:val="center"/>
          </w:tcPr>
          <w:p>
            <w:pPr>
              <w:widowControl/>
              <w:adjustRightInd w:val="0"/>
              <w:snapToGrid w:val="0"/>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150</w:t>
            </w:r>
          </w:p>
        </w:tc>
      </w:tr>
      <w:tr>
        <w:tblPrEx>
          <w:tblLayout w:type="fixed"/>
        </w:tblPrEx>
        <w:trPr>
          <w:trHeight w:val="0" w:hRule="atLeast"/>
          <w:jc w:val="center"/>
        </w:trPr>
        <w:tc>
          <w:tcPr>
            <w:tcW w:w="780" w:type="dxa"/>
            <w:tcBorders>
              <w:top w:val="nil"/>
              <w:left w:val="single" w:color="auto" w:sz="4" w:space="0"/>
              <w:bottom w:val="single" w:color="auto" w:sz="4" w:space="0"/>
              <w:right w:val="single" w:color="auto" w:sz="4" w:space="0"/>
            </w:tcBorders>
            <w:vAlign w:val="center"/>
          </w:tcPr>
          <w:p>
            <w:pPr>
              <w:widowControl/>
              <w:adjustRightInd w:val="0"/>
              <w:snapToGrid w:val="0"/>
              <w:spacing w:line="360" w:lineRule="exact"/>
              <w:jc w:val="center"/>
              <w:rPr>
                <w:rFonts w:hint="default" w:ascii="Times New Roman" w:hAnsi="Times New Roman" w:eastAsia="仿宋_GB2312" w:cs="Times New Roman"/>
                <w:b w:val="0"/>
                <w:bCs/>
                <w:kern w:val="0"/>
                <w:sz w:val="24"/>
                <w:szCs w:val="24"/>
              </w:rPr>
            </w:pPr>
            <w:r>
              <w:rPr>
                <w:rFonts w:hint="default" w:ascii="Times New Roman" w:hAnsi="Times New Roman" w:eastAsia="仿宋_GB2312" w:cs="Times New Roman"/>
                <w:b w:val="0"/>
                <w:bCs/>
                <w:kern w:val="0"/>
                <w:sz w:val="24"/>
                <w:szCs w:val="24"/>
              </w:rPr>
              <w:t>9</w:t>
            </w:r>
          </w:p>
        </w:tc>
        <w:tc>
          <w:tcPr>
            <w:tcW w:w="1202" w:type="dxa"/>
            <w:tcBorders>
              <w:top w:val="nil"/>
              <w:left w:val="nil"/>
              <w:bottom w:val="single" w:color="auto" w:sz="4" w:space="0"/>
              <w:right w:val="single" w:color="auto" w:sz="4" w:space="0"/>
            </w:tcBorders>
            <w:vAlign w:val="center"/>
          </w:tcPr>
          <w:p>
            <w:pPr>
              <w:widowControl/>
              <w:adjustRightInd w:val="0"/>
              <w:snapToGrid w:val="0"/>
              <w:spacing w:line="360" w:lineRule="exact"/>
              <w:jc w:val="center"/>
              <w:rPr>
                <w:rFonts w:hint="default" w:ascii="Times New Roman" w:hAnsi="Times New Roman" w:eastAsia="仿宋_GB2312" w:cs="Times New Roman"/>
                <w:b w:val="0"/>
                <w:bCs/>
                <w:kern w:val="0"/>
                <w:sz w:val="24"/>
                <w:szCs w:val="24"/>
              </w:rPr>
            </w:pPr>
            <w:r>
              <w:rPr>
                <w:rFonts w:hint="default" w:ascii="Times New Roman" w:hAnsi="Times New Roman" w:eastAsia="仿宋_GB2312" w:cs="Times New Roman"/>
                <w:b w:val="0"/>
                <w:bCs/>
                <w:kern w:val="0"/>
                <w:sz w:val="24"/>
                <w:szCs w:val="24"/>
              </w:rPr>
              <w:t>台州</w:t>
            </w:r>
          </w:p>
        </w:tc>
        <w:tc>
          <w:tcPr>
            <w:tcW w:w="1805" w:type="dxa"/>
            <w:tcBorders>
              <w:top w:val="nil"/>
              <w:left w:val="nil"/>
              <w:bottom w:val="single" w:color="auto" w:sz="4" w:space="0"/>
              <w:right w:val="single" w:color="auto" w:sz="4" w:space="0"/>
            </w:tcBorders>
            <w:vAlign w:val="center"/>
          </w:tcPr>
          <w:p>
            <w:pPr>
              <w:widowControl/>
              <w:adjustRightInd w:val="0"/>
              <w:snapToGrid w:val="0"/>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117</w:t>
            </w:r>
          </w:p>
        </w:tc>
        <w:tc>
          <w:tcPr>
            <w:tcW w:w="2320" w:type="dxa"/>
            <w:tcBorders>
              <w:top w:val="nil"/>
              <w:left w:val="nil"/>
              <w:bottom w:val="single" w:color="auto" w:sz="4" w:space="0"/>
              <w:right w:val="single" w:color="auto" w:sz="4" w:space="0"/>
            </w:tcBorders>
            <w:vAlign w:val="center"/>
          </w:tcPr>
          <w:p>
            <w:pPr>
              <w:widowControl/>
              <w:adjustRightInd w:val="0"/>
              <w:snapToGrid w:val="0"/>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317</w:t>
            </w:r>
          </w:p>
        </w:tc>
        <w:tc>
          <w:tcPr>
            <w:tcW w:w="2964" w:type="dxa"/>
            <w:tcBorders>
              <w:top w:val="nil"/>
              <w:left w:val="nil"/>
              <w:bottom w:val="single" w:color="auto" w:sz="4" w:space="0"/>
              <w:right w:val="single" w:color="auto" w:sz="4" w:space="0"/>
            </w:tcBorders>
            <w:vAlign w:val="center"/>
          </w:tcPr>
          <w:p>
            <w:pPr>
              <w:widowControl/>
              <w:adjustRightInd w:val="0"/>
              <w:snapToGrid w:val="0"/>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200</w:t>
            </w:r>
          </w:p>
        </w:tc>
      </w:tr>
      <w:tr>
        <w:tblPrEx>
          <w:tblLayout w:type="fixed"/>
        </w:tblPrEx>
        <w:trPr>
          <w:trHeight w:val="0" w:hRule="atLeast"/>
          <w:jc w:val="center"/>
        </w:trPr>
        <w:tc>
          <w:tcPr>
            <w:tcW w:w="780" w:type="dxa"/>
            <w:tcBorders>
              <w:top w:val="nil"/>
              <w:left w:val="single" w:color="auto" w:sz="4" w:space="0"/>
              <w:bottom w:val="single" w:color="auto" w:sz="4" w:space="0"/>
              <w:right w:val="single" w:color="auto" w:sz="4" w:space="0"/>
            </w:tcBorders>
            <w:vAlign w:val="center"/>
          </w:tcPr>
          <w:p>
            <w:pPr>
              <w:widowControl/>
              <w:adjustRightInd w:val="0"/>
              <w:snapToGrid w:val="0"/>
              <w:spacing w:line="360" w:lineRule="exact"/>
              <w:jc w:val="center"/>
              <w:rPr>
                <w:rFonts w:hint="default" w:ascii="Times New Roman" w:hAnsi="Times New Roman" w:eastAsia="仿宋_GB2312" w:cs="Times New Roman"/>
                <w:b w:val="0"/>
                <w:bCs/>
                <w:kern w:val="0"/>
                <w:sz w:val="24"/>
                <w:szCs w:val="24"/>
              </w:rPr>
            </w:pPr>
            <w:r>
              <w:rPr>
                <w:rFonts w:hint="default" w:ascii="Times New Roman" w:hAnsi="Times New Roman" w:eastAsia="仿宋_GB2312" w:cs="Times New Roman"/>
                <w:b w:val="0"/>
                <w:bCs/>
                <w:kern w:val="0"/>
                <w:sz w:val="24"/>
                <w:szCs w:val="24"/>
              </w:rPr>
              <w:t>10</w:t>
            </w:r>
          </w:p>
        </w:tc>
        <w:tc>
          <w:tcPr>
            <w:tcW w:w="1202" w:type="dxa"/>
            <w:tcBorders>
              <w:top w:val="nil"/>
              <w:left w:val="nil"/>
              <w:bottom w:val="single" w:color="auto" w:sz="4" w:space="0"/>
              <w:right w:val="single" w:color="auto" w:sz="4" w:space="0"/>
            </w:tcBorders>
            <w:vAlign w:val="center"/>
          </w:tcPr>
          <w:p>
            <w:pPr>
              <w:widowControl/>
              <w:adjustRightInd w:val="0"/>
              <w:snapToGrid w:val="0"/>
              <w:spacing w:line="360" w:lineRule="exact"/>
              <w:jc w:val="center"/>
              <w:rPr>
                <w:rFonts w:hint="default" w:ascii="Times New Roman" w:hAnsi="Times New Roman" w:eastAsia="仿宋_GB2312" w:cs="Times New Roman"/>
                <w:b w:val="0"/>
                <w:bCs/>
                <w:kern w:val="0"/>
                <w:sz w:val="24"/>
                <w:szCs w:val="24"/>
              </w:rPr>
            </w:pPr>
            <w:r>
              <w:rPr>
                <w:rFonts w:hint="default" w:ascii="Times New Roman" w:hAnsi="Times New Roman" w:eastAsia="仿宋_GB2312" w:cs="Times New Roman"/>
                <w:b w:val="0"/>
                <w:bCs/>
                <w:kern w:val="0"/>
                <w:sz w:val="24"/>
                <w:szCs w:val="24"/>
              </w:rPr>
              <w:t>舟山</w:t>
            </w:r>
          </w:p>
        </w:tc>
        <w:tc>
          <w:tcPr>
            <w:tcW w:w="1805" w:type="dxa"/>
            <w:tcBorders>
              <w:top w:val="nil"/>
              <w:left w:val="nil"/>
              <w:bottom w:val="single" w:color="auto" w:sz="4" w:space="0"/>
              <w:right w:val="single" w:color="auto" w:sz="4" w:space="0"/>
            </w:tcBorders>
            <w:vAlign w:val="center"/>
          </w:tcPr>
          <w:p>
            <w:pPr>
              <w:widowControl/>
              <w:adjustRightInd w:val="0"/>
              <w:snapToGrid w:val="0"/>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16</w:t>
            </w:r>
          </w:p>
        </w:tc>
        <w:tc>
          <w:tcPr>
            <w:tcW w:w="2320" w:type="dxa"/>
            <w:tcBorders>
              <w:top w:val="nil"/>
              <w:left w:val="nil"/>
              <w:bottom w:val="single" w:color="auto" w:sz="4" w:space="0"/>
              <w:right w:val="single" w:color="auto" w:sz="4" w:space="0"/>
            </w:tcBorders>
            <w:vAlign w:val="center"/>
          </w:tcPr>
          <w:p>
            <w:pPr>
              <w:widowControl/>
              <w:adjustRightInd w:val="0"/>
              <w:snapToGrid w:val="0"/>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116</w:t>
            </w:r>
          </w:p>
        </w:tc>
        <w:tc>
          <w:tcPr>
            <w:tcW w:w="2964" w:type="dxa"/>
            <w:tcBorders>
              <w:top w:val="nil"/>
              <w:left w:val="nil"/>
              <w:bottom w:val="single" w:color="auto" w:sz="4" w:space="0"/>
              <w:right w:val="single" w:color="auto" w:sz="4" w:space="0"/>
            </w:tcBorders>
            <w:vAlign w:val="center"/>
          </w:tcPr>
          <w:p>
            <w:pPr>
              <w:widowControl/>
              <w:adjustRightInd w:val="0"/>
              <w:snapToGrid w:val="0"/>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100</w:t>
            </w:r>
          </w:p>
        </w:tc>
      </w:tr>
      <w:tr>
        <w:tblPrEx>
          <w:tblLayout w:type="fixed"/>
        </w:tblPrEx>
        <w:trPr>
          <w:trHeight w:val="0" w:hRule="atLeast"/>
          <w:jc w:val="center"/>
        </w:trPr>
        <w:tc>
          <w:tcPr>
            <w:tcW w:w="780" w:type="dxa"/>
            <w:tcBorders>
              <w:top w:val="nil"/>
              <w:left w:val="single" w:color="auto" w:sz="4" w:space="0"/>
              <w:bottom w:val="single" w:color="auto" w:sz="4" w:space="0"/>
              <w:right w:val="single" w:color="auto" w:sz="4" w:space="0"/>
            </w:tcBorders>
            <w:vAlign w:val="center"/>
          </w:tcPr>
          <w:p>
            <w:pPr>
              <w:widowControl/>
              <w:adjustRightInd w:val="0"/>
              <w:snapToGrid w:val="0"/>
              <w:spacing w:line="360" w:lineRule="exact"/>
              <w:jc w:val="center"/>
              <w:rPr>
                <w:rFonts w:hint="default" w:ascii="Times New Roman" w:hAnsi="Times New Roman" w:eastAsia="仿宋_GB2312" w:cs="Times New Roman"/>
                <w:b w:val="0"/>
                <w:bCs/>
                <w:kern w:val="0"/>
                <w:sz w:val="24"/>
                <w:szCs w:val="24"/>
              </w:rPr>
            </w:pPr>
            <w:r>
              <w:rPr>
                <w:rFonts w:hint="default" w:ascii="Times New Roman" w:hAnsi="Times New Roman" w:eastAsia="仿宋_GB2312" w:cs="Times New Roman"/>
                <w:b w:val="0"/>
                <w:bCs/>
                <w:kern w:val="0"/>
                <w:sz w:val="24"/>
                <w:szCs w:val="24"/>
              </w:rPr>
              <w:t>11</w:t>
            </w:r>
          </w:p>
        </w:tc>
        <w:tc>
          <w:tcPr>
            <w:tcW w:w="1202" w:type="dxa"/>
            <w:tcBorders>
              <w:top w:val="nil"/>
              <w:left w:val="nil"/>
              <w:bottom w:val="single" w:color="auto" w:sz="4" w:space="0"/>
              <w:right w:val="single" w:color="auto" w:sz="4" w:space="0"/>
            </w:tcBorders>
            <w:vAlign w:val="center"/>
          </w:tcPr>
          <w:p>
            <w:pPr>
              <w:widowControl/>
              <w:adjustRightInd w:val="0"/>
              <w:snapToGrid w:val="0"/>
              <w:spacing w:line="360" w:lineRule="exact"/>
              <w:jc w:val="center"/>
              <w:rPr>
                <w:rFonts w:hint="default" w:ascii="Times New Roman" w:hAnsi="Times New Roman" w:eastAsia="仿宋_GB2312" w:cs="Times New Roman"/>
                <w:b w:val="0"/>
                <w:bCs/>
                <w:kern w:val="0"/>
                <w:sz w:val="24"/>
                <w:szCs w:val="24"/>
              </w:rPr>
            </w:pPr>
            <w:r>
              <w:rPr>
                <w:rFonts w:hint="default" w:ascii="Times New Roman" w:hAnsi="Times New Roman" w:eastAsia="仿宋_GB2312" w:cs="Times New Roman"/>
                <w:b w:val="0"/>
                <w:bCs/>
                <w:kern w:val="0"/>
                <w:sz w:val="24"/>
                <w:szCs w:val="24"/>
              </w:rPr>
              <w:t>丽水</w:t>
            </w:r>
          </w:p>
        </w:tc>
        <w:tc>
          <w:tcPr>
            <w:tcW w:w="1805" w:type="dxa"/>
            <w:tcBorders>
              <w:top w:val="nil"/>
              <w:left w:val="nil"/>
              <w:bottom w:val="single" w:color="auto" w:sz="4" w:space="0"/>
              <w:right w:val="single" w:color="auto" w:sz="4" w:space="0"/>
            </w:tcBorders>
            <w:vAlign w:val="center"/>
          </w:tcPr>
          <w:p>
            <w:pPr>
              <w:widowControl/>
              <w:adjustRightInd w:val="0"/>
              <w:snapToGrid w:val="0"/>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63</w:t>
            </w:r>
          </w:p>
        </w:tc>
        <w:tc>
          <w:tcPr>
            <w:tcW w:w="2320" w:type="dxa"/>
            <w:tcBorders>
              <w:top w:val="nil"/>
              <w:left w:val="nil"/>
              <w:bottom w:val="single" w:color="auto" w:sz="4" w:space="0"/>
              <w:right w:val="single" w:color="auto" w:sz="4" w:space="0"/>
            </w:tcBorders>
            <w:vAlign w:val="center"/>
          </w:tcPr>
          <w:p>
            <w:pPr>
              <w:widowControl/>
              <w:adjustRightInd w:val="0"/>
              <w:snapToGrid w:val="0"/>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213</w:t>
            </w:r>
          </w:p>
        </w:tc>
        <w:tc>
          <w:tcPr>
            <w:tcW w:w="2964" w:type="dxa"/>
            <w:tcBorders>
              <w:top w:val="nil"/>
              <w:left w:val="nil"/>
              <w:bottom w:val="single" w:color="auto" w:sz="4" w:space="0"/>
              <w:right w:val="single" w:color="auto" w:sz="4" w:space="0"/>
            </w:tcBorders>
            <w:vAlign w:val="center"/>
          </w:tcPr>
          <w:p>
            <w:pPr>
              <w:widowControl/>
              <w:adjustRightInd w:val="0"/>
              <w:snapToGrid w:val="0"/>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150</w:t>
            </w:r>
          </w:p>
        </w:tc>
      </w:tr>
      <w:tr>
        <w:tblPrEx>
          <w:tblLayout w:type="fixed"/>
        </w:tblPrEx>
        <w:trPr>
          <w:trHeight w:val="0" w:hRule="atLeast"/>
          <w:jc w:val="center"/>
        </w:trPr>
        <w:tc>
          <w:tcPr>
            <w:tcW w:w="19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60" w:lineRule="exact"/>
              <w:jc w:val="center"/>
              <w:rPr>
                <w:rFonts w:hint="default" w:ascii="Times New Roman" w:hAnsi="Times New Roman" w:eastAsia="仿宋_GB2312" w:cs="Times New Roman"/>
                <w:b/>
                <w:kern w:val="0"/>
                <w:sz w:val="24"/>
                <w:szCs w:val="24"/>
              </w:rPr>
            </w:pPr>
            <w:r>
              <w:rPr>
                <w:rFonts w:hint="default" w:ascii="Times New Roman" w:hAnsi="Times New Roman" w:eastAsia="仿宋_GB2312" w:cs="Times New Roman"/>
                <w:b/>
                <w:kern w:val="0"/>
                <w:sz w:val="24"/>
                <w:szCs w:val="24"/>
              </w:rPr>
              <w:t>合计</w:t>
            </w:r>
          </w:p>
        </w:tc>
        <w:tc>
          <w:tcPr>
            <w:tcW w:w="180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60" w:lineRule="exact"/>
              <w:jc w:val="center"/>
              <w:rPr>
                <w:rFonts w:hint="default" w:ascii="Times New Roman" w:hAnsi="Times New Roman" w:eastAsia="仿宋_GB2312" w:cs="Times New Roman"/>
                <w:b/>
                <w:kern w:val="0"/>
                <w:sz w:val="24"/>
                <w:szCs w:val="24"/>
              </w:rPr>
            </w:pPr>
            <w:r>
              <w:rPr>
                <w:rFonts w:hint="default" w:ascii="Times New Roman" w:hAnsi="Times New Roman" w:eastAsia="仿宋_GB2312" w:cs="Times New Roman"/>
                <w:b/>
                <w:kern w:val="0"/>
                <w:sz w:val="24"/>
                <w:szCs w:val="24"/>
              </w:rPr>
              <w:t>1517</w:t>
            </w:r>
          </w:p>
        </w:tc>
        <w:tc>
          <w:tcPr>
            <w:tcW w:w="2320"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60" w:lineRule="exact"/>
              <w:jc w:val="center"/>
              <w:rPr>
                <w:rFonts w:hint="default" w:ascii="Times New Roman" w:hAnsi="Times New Roman" w:eastAsia="仿宋_GB2312" w:cs="Times New Roman"/>
                <w:b/>
                <w:kern w:val="0"/>
                <w:sz w:val="24"/>
                <w:szCs w:val="24"/>
              </w:rPr>
            </w:pPr>
            <w:r>
              <w:rPr>
                <w:rFonts w:hint="default" w:ascii="Times New Roman" w:hAnsi="Times New Roman" w:cs="Times New Roman"/>
                <w:b/>
                <w:kern w:val="0"/>
                <w:sz w:val="24"/>
                <w:szCs w:val="24"/>
                <w:lang w:val="en-US" w:eastAsia="zh-CN"/>
              </w:rPr>
              <w:t>3017</w:t>
            </w:r>
          </w:p>
        </w:tc>
        <w:tc>
          <w:tcPr>
            <w:tcW w:w="296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60" w:lineRule="exact"/>
              <w:jc w:val="center"/>
              <w:rPr>
                <w:rFonts w:hint="default" w:ascii="Times New Roman" w:hAnsi="Times New Roman" w:eastAsia="仿宋_GB2312" w:cs="Times New Roman"/>
                <w:b/>
                <w:kern w:val="0"/>
                <w:sz w:val="24"/>
                <w:szCs w:val="24"/>
              </w:rPr>
            </w:pPr>
            <w:r>
              <w:rPr>
                <w:rFonts w:hint="default" w:ascii="Times New Roman" w:hAnsi="Times New Roman" w:eastAsia="仿宋_GB2312" w:cs="Times New Roman"/>
                <w:b/>
                <w:kern w:val="0"/>
                <w:sz w:val="24"/>
                <w:szCs w:val="24"/>
              </w:rPr>
              <w:t>1500</w:t>
            </w:r>
          </w:p>
        </w:tc>
      </w:tr>
    </w:tbl>
    <w:p>
      <w:pPr>
        <w:pStyle w:val="8"/>
        <w:numPr>
          <w:ilvl w:val="0"/>
          <w:numId w:val="0"/>
        </w:numPr>
        <w:adjustRightInd w:val="0"/>
        <w:snapToGrid w:val="0"/>
        <w:spacing w:beforeLines="0" w:afterLines="0" w:line="579" w:lineRule="exact"/>
        <w:ind w:left="0" w:firstLine="640" w:firstLineChars="200"/>
        <w:outlineLvl w:val="0"/>
        <w:rPr>
          <w:rFonts w:ascii="Times New Roman" w:hAnsi="Times New Roman" w:eastAsia="黑体" w:cs="Times New Roman"/>
          <w:color w:val="000000"/>
          <w:sz w:val="32"/>
          <w:szCs w:val="32"/>
        </w:rPr>
      </w:pPr>
      <w:bookmarkStart w:id="63" w:name="_Toc56958968"/>
      <w:bookmarkEnd w:id="63"/>
      <w:bookmarkStart w:id="64" w:name="_Toc61460263"/>
      <w:bookmarkEnd w:id="64"/>
      <w:bookmarkStart w:id="65" w:name="_Toc69378095"/>
      <w:r>
        <w:rPr>
          <w:rFonts w:hint="eastAsia" w:ascii="Times New Roman" w:hAnsi="Times New Roman" w:eastAsia="黑体" w:cs="Times New Roman"/>
          <w:color w:val="000000"/>
          <w:sz w:val="32"/>
          <w:szCs w:val="32"/>
          <w:lang w:eastAsia="zh-CN"/>
        </w:rPr>
        <w:t>三、</w:t>
      </w:r>
      <w:r>
        <w:rPr>
          <w:rFonts w:ascii="Times New Roman" w:hAnsi="Times New Roman" w:eastAsia="黑体" w:cs="Times New Roman"/>
          <w:color w:val="000000"/>
          <w:sz w:val="32"/>
          <w:szCs w:val="32"/>
        </w:rPr>
        <w:t>重点任务</w:t>
      </w:r>
      <w:bookmarkEnd w:id="65"/>
    </w:p>
    <w:p>
      <w:pPr>
        <w:pStyle w:val="9"/>
        <w:numPr>
          <w:ilvl w:val="0"/>
          <w:numId w:val="0"/>
        </w:numPr>
        <w:adjustRightInd w:val="0"/>
        <w:snapToGrid w:val="0"/>
        <w:spacing w:beforeLines="0" w:afterLines="0" w:line="579" w:lineRule="exact"/>
        <w:ind w:left="0" w:firstLine="641" w:firstLineChars="200"/>
        <w:jc w:val="left"/>
        <w:outlineLvl w:val="0"/>
        <w:rPr>
          <w:rFonts w:ascii="Times New Roman" w:hAnsi="Times New Roman" w:eastAsia="楷体_GB2312" w:cs="Times New Roman"/>
          <w:b/>
          <w:color w:val="000000"/>
          <w:sz w:val="32"/>
          <w:szCs w:val="32"/>
        </w:rPr>
      </w:pPr>
      <w:bookmarkStart w:id="66" w:name="_Toc69378096"/>
      <w:bookmarkStart w:id="67" w:name="_Toc502135460"/>
      <w:r>
        <w:rPr>
          <w:rFonts w:hint="default" w:ascii="Times New Roman" w:hAnsi="Times New Roman" w:eastAsia="楷体_GB2312" w:cs="Times New Roman"/>
          <w:b/>
          <w:color w:val="000000"/>
          <w:sz w:val="32"/>
          <w:szCs w:val="32"/>
          <w:lang w:eastAsia="zh-CN"/>
        </w:rPr>
        <w:t>（一）</w:t>
      </w:r>
      <w:r>
        <w:rPr>
          <w:rFonts w:ascii="Times New Roman" w:hAnsi="Times New Roman" w:eastAsia="楷体_GB2312" w:cs="Times New Roman"/>
          <w:b/>
          <w:color w:val="000000"/>
          <w:sz w:val="32"/>
          <w:szCs w:val="32"/>
        </w:rPr>
        <w:t>深挖分布式光伏潜力，鼓励集中式复合光伏</w:t>
      </w:r>
      <w:bookmarkEnd w:id="66"/>
    </w:p>
    <w:p>
      <w:pPr>
        <w:adjustRightInd w:val="0"/>
        <w:snapToGrid w:val="0"/>
        <w:spacing w:beforeLines="0" w:afterLines="0" w:line="579" w:lineRule="exact"/>
        <w:ind w:right="0" w:rightChars="0" w:firstLine="643" w:firstLineChars="200"/>
        <w:textAlignment w:val="center"/>
        <w:rPr>
          <w:rFonts w:ascii="Times New Roman" w:hAnsi="Times New Roman" w:eastAsia="仿宋_GB2312" w:cs="Times New Roman"/>
          <w:bCs/>
          <w:color w:val="000000"/>
          <w:kern w:val="0"/>
          <w:sz w:val="32"/>
          <w:szCs w:val="32"/>
        </w:rPr>
      </w:pPr>
      <w:r>
        <w:rPr>
          <w:rFonts w:ascii="Times New Roman" w:hAnsi="Times New Roman" w:eastAsia="仿宋_GB2312" w:cs="Times New Roman"/>
          <w:b/>
          <w:color w:val="000000"/>
          <w:kern w:val="0"/>
          <w:sz w:val="32"/>
          <w:szCs w:val="32"/>
        </w:rPr>
        <w:t>继续推进分布式光伏发电应用。</w:t>
      </w:r>
      <w:r>
        <w:rPr>
          <w:rFonts w:ascii="Times New Roman" w:hAnsi="Times New Roman" w:eastAsia="仿宋_GB2312" w:cs="Times New Roman"/>
          <w:bCs/>
          <w:color w:val="000000"/>
          <w:kern w:val="0"/>
          <w:sz w:val="32"/>
          <w:szCs w:val="32"/>
        </w:rPr>
        <w:t>在城镇和农村，充分利用居民屋顶，建设户用光伏；在特色小镇、工业园区和经济技术开发园区以及商场、学校、医院等建筑屋顶，发展“自发自用，余电上网”的分布式光伏；结合污水处理厂、垃圾填埋场等城市基础设施，推进分布式光伏；在新建厂房和商业建筑等，积极开发建筑一体化光伏发电系统。同时，加快探索建筑屋顶太阳能热水器和光伏发电系统一体化应用。“十四五”期间，全省分布式新增装机容量500万以上，累计装机容量达到1600万千瓦以上。</w:t>
      </w:r>
    </w:p>
    <w:p>
      <w:pPr>
        <w:adjustRightInd w:val="0"/>
        <w:snapToGrid w:val="0"/>
        <w:spacing w:beforeLines="0" w:afterLines="0" w:line="579" w:lineRule="exact"/>
        <w:ind w:firstLine="643" w:firstLineChars="200"/>
        <w:textAlignment w:val="center"/>
        <w:rPr>
          <w:rFonts w:ascii="Times New Roman" w:hAnsi="Times New Roman" w:eastAsia="仿宋_GB2312" w:cs="Times New Roman"/>
          <w:bCs/>
          <w:color w:val="000000"/>
          <w:kern w:val="0"/>
          <w:sz w:val="32"/>
          <w:szCs w:val="32"/>
        </w:rPr>
      </w:pPr>
      <w:r>
        <w:rPr>
          <w:rFonts w:ascii="Times New Roman" w:hAnsi="Times New Roman" w:eastAsia="仿宋_GB2312" w:cs="Times New Roman"/>
          <w:b/>
          <w:color w:val="000000"/>
          <w:kern w:val="0"/>
          <w:sz w:val="32"/>
          <w:szCs w:val="32"/>
        </w:rPr>
        <w:t>鼓励集中式复合光伏发展。</w:t>
      </w:r>
      <w:r>
        <w:rPr>
          <w:rFonts w:ascii="Times New Roman" w:hAnsi="Times New Roman" w:eastAsia="仿宋_GB2312" w:cs="Times New Roman"/>
          <w:bCs/>
          <w:color w:val="000000"/>
          <w:kern w:val="0"/>
          <w:sz w:val="32"/>
          <w:szCs w:val="32"/>
        </w:rPr>
        <w:t>在沿海地区，利用滩涂和养殖鱼塘等，建设渔光互补光伏电站；在内陆地区，利用荒山荒坡、设</w:t>
      </w:r>
      <w:r>
        <w:rPr>
          <w:rFonts w:ascii="Times New Roman" w:hAnsi="Times New Roman" w:eastAsia="仿宋_GB2312" w:cs="Times New Roman"/>
          <w:bCs/>
          <w:color w:val="000000"/>
          <w:spacing w:val="-3"/>
          <w:kern w:val="0"/>
          <w:sz w:val="32"/>
          <w:szCs w:val="32"/>
        </w:rPr>
        <w:t>施农业用地，标准化建设农光互补电站。“十四五”期间，全省集中式新增装机容量700万以上，累计装机容量达到1200万千瓦以上。</w:t>
      </w:r>
    </w:p>
    <w:p>
      <w:pPr>
        <w:adjustRightInd w:val="0"/>
        <w:snapToGrid w:val="0"/>
        <w:spacing w:beforeLines="0" w:afterLines="0" w:line="579" w:lineRule="exact"/>
        <w:ind w:firstLine="643" w:firstLineChars="200"/>
        <w:textAlignment w:val="center"/>
        <w:rPr>
          <w:rFonts w:ascii="Times New Roman" w:hAnsi="Times New Roman" w:eastAsia="仿宋_GB2312" w:cs="Times New Roman"/>
          <w:bCs/>
          <w:color w:val="000000"/>
          <w:kern w:val="0"/>
          <w:sz w:val="32"/>
          <w:szCs w:val="32"/>
        </w:rPr>
      </w:pPr>
      <w:r>
        <w:rPr>
          <w:rFonts w:ascii="Times New Roman" w:hAnsi="Times New Roman" w:eastAsia="仿宋_GB2312" w:cs="Times New Roman"/>
          <w:b/>
          <w:color w:val="000000"/>
          <w:kern w:val="0"/>
          <w:sz w:val="32"/>
          <w:szCs w:val="32"/>
        </w:rPr>
        <w:t>积极开展先进技术示范应用。</w:t>
      </w:r>
      <w:r>
        <w:rPr>
          <w:rFonts w:ascii="Times New Roman" w:hAnsi="Times New Roman" w:eastAsia="仿宋_GB2312" w:cs="Times New Roman"/>
          <w:bCs/>
          <w:color w:val="000000"/>
          <w:kern w:val="0"/>
          <w:sz w:val="32"/>
          <w:szCs w:val="32"/>
        </w:rPr>
        <w:t>鼓励应用新一代互联网智能电网、先进的储能和电力电子等技术，积极开展光伏与其他能源相结合的多能互补示范项目、智能微电网示范项目等，降低光伏发电的不稳定性，增强与电网融合度，提高能源系统综合利用率。基于大数据和人工智能技术，开展光伏项目的精细化管理和发电量预报等，及时发现隐患并排除故障，提升光伏发电效率和电能质量。</w:t>
      </w:r>
    </w:p>
    <w:p>
      <w:pPr>
        <w:pStyle w:val="9"/>
        <w:numPr>
          <w:ilvl w:val="0"/>
          <w:numId w:val="0"/>
        </w:numPr>
        <w:adjustRightInd w:val="0"/>
        <w:snapToGrid w:val="0"/>
        <w:spacing w:beforeLines="0" w:afterLines="0" w:line="579" w:lineRule="exact"/>
        <w:ind w:left="0" w:firstLine="641" w:firstLineChars="200"/>
        <w:jc w:val="left"/>
        <w:outlineLvl w:val="0"/>
        <w:rPr>
          <w:rFonts w:ascii="Times New Roman" w:hAnsi="Times New Roman" w:eastAsia="楷体" w:cs="Times New Roman"/>
          <w:b/>
          <w:color w:val="000000"/>
          <w:sz w:val="32"/>
          <w:szCs w:val="32"/>
        </w:rPr>
      </w:pPr>
      <w:bookmarkStart w:id="68" w:name="_Toc69378097"/>
      <w:r>
        <w:rPr>
          <w:rFonts w:hint="default" w:ascii="Times New Roman" w:hAnsi="Times New Roman" w:eastAsia="楷体_GB2312" w:cs="Times New Roman"/>
          <w:b/>
          <w:color w:val="000000"/>
          <w:sz w:val="32"/>
          <w:szCs w:val="32"/>
          <w:lang w:eastAsia="zh-CN"/>
        </w:rPr>
        <w:t>（二）</w:t>
      </w:r>
      <w:r>
        <w:rPr>
          <w:rFonts w:ascii="Times New Roman" w:hAnsi="Times New Roman" w:eastAsia="楷体_GB2312" w:cs="Times New Roman"/>
          <w:b/>
          <w:color w:val="000000"/>
          <w:sz w:val="32"/>
          <w:szCs w:val="32"/>
        </w:rPr>
        <w:t>积极推进近海海上风电，探索深远海试验示范</w:t>
      </w:r>
      <w:bookmarkEnd w:id="68"/>
    </w:p>
    <w:p>
      <w:pPr>
        <w:adjustRightInd w:val="0"/>
        <w:snapToGrid w:val="0"/>
        <w:spacing w:beforeLines="0" w:afterLines="0" w:line="579" w:lineRule="exact"/>
        <w:ind w:firstLine="643" w:firstLineChars="200"/>
        <w:textAlignment w:val="center"/>
        <w:rPr>
          <w:rFonts w:ascii="Times New Roman" w:hAnsi="Times New Roman" w:eastAsia="仿宋_GB2312" w:cs="Times New Roman"/>
          <w:bCs/>
          <w:color w:val="000000"/>
          <w:kern w:val="0"/>
          <w:sz w:val="32"/>
          <w:szCs w:val="32"/>
        </w:rPr>
      </w:pPr>
      <w:r>
        <w:rPr>
          <w:rFonts w:ascii="Times New Roman" w:hAnsi="Times New Roman" w:eastAsia="仿宋_GB2312" w:cs="Times New Roman"/>
          <w:b/>
          <w:color w:val="000000"/>
          <w:kern w:val="0"/>
          <w:sz w:val="32"/>
          <w:szCs w:val="32"/>
        </w:rPr>
        <w:t>大力推进海上风电建设。</w:t>
      </w:r>
      <w:r>
        <w:rPr>
          <w:rFonts w:ascii="Times New Roman" w:hAnsi="Times New Roman" w:eastAsia="仿宋_GB2312" w:cs="Times New Roman"/>
          <w:bCs/>
          <w:color w:val="000000"/>
          <w:kern w:val="0"/>
          <w:sz w:val="32"/>
          <w:szCs w:val="32"/>
        </w:rPr>
        <w:t>积极推进已核准项目的开发建设，适时开展一批规划项目前期核准工作，加快海上风电规划修编，积极争取新增海上风电项目入规，逐步探索利用我省临近的专属经济区建设海上风电，实现我省海上风电规模化发展。“十四五”期间，全省海上风电力争新增装机容量450万千瓦以上，累计装机容量达到500万千瓦以上。</w:t>
      </w:r>
    </w:p>
    <w:p>
      <w:pPr>
        <w:adjustRightInd w:val="0"/>
        <w:snapToGrid w:val="0"/>
        <w:spacing w:beforeLines="0" w:afterLines="0" w:line="579" w:lineRule="exact"/>
        <w:ind w:firstLine="643" w:firstLineChars="200"/>
        <w:textAlignment w:val="center"/>
        <w:rPr>
          <w:rFonts w:ascii="Times New Roman" w:hAnsi="Times New Roman" w:eastAsia="仿宋_GB2312" w:cs="Times New Roman"/>
          <w:bCs/>
          <w:color w:val="000000"/>
          <w:kern w:val="0"/>
          <w:sz w:val="32"/>
          <w:szCs w:val="32"/>
        </w:rPr>
      </w:pPr>
      <w:r>
        <w:rPr>
          <w:rFonts w:ascii="Times New Roman" w:hAnsi="Times New Roman" w:eastAsia="仿宋_GB2312" w:cs="Times New Roman"/>
          <w:b/>
          <w:color w:val="000000"/>
          <w:kern w:val="0"/>
          <w:sz w:val="32"/>
          <w:szCs w:val="32"/>
        </w:rPr>
        <w:t>因地制宜发展分散式风电。</w:t>
      </w:r>
      <w:r>
        <w:rPr>
          <w:rFonts w:ascii="Times New Roman" w:hAnsi="Times New Roman" w:eastAsia="仿宋_GB2312" w:cs="Times New Roman"/>
          <w:bCs/>
          <w:color w:val="000000"/>
          <w:kern w:val="0"/>
          <w:sz w:val="32"/>
          <w:szCs w:val="32"/>
        </w:rPr>
        <w:t>充分利用我省沿海沿江滩涂、工业园区和火电厂区空地等区域，因地制宜发展分散式风电，同时试点推进分布式发电市场化交易，研究点对点电源直供模式。结合乡村振兴战略，贯彻国家“千乡万村驭风计划”。启动老旧风电场技术改造升级。遵循企业自愿原则，鼓励业主单位通过技改、置换等方式，重点开展单机容量小于1.5兆瓦的风电机组技改升级，促进风电产业提质增效和循环发展。</w:t>
      </w:r>
    </w:p>
    <w:p>
      <w:pPr>
        <w:adjustRightInd w:val="0"/>
        <w:snapToGrid w:val="0"/>
        <w:spacing w:beforeLines="0" w:afterLines="0" w:line="579" w:lineRule="exact"/>
        <w:ind w:firstLine="643" w:firstLineChars="200"/>
        <w:textAlignment w:val="center"/>
        <w:rPr>
          <w:rFonts w:ascii="Times New Roman" w:hAnsi="Times New Roman" w:eastAsia="仿宋_GB2312" w:cs="Times New Roman"/>
          <w:bCs/>
          <w:color w:val="000000"/>
          <w:kern w:val="0"/>
          <w:sz w:val="32"/>
          <w:szCs w:val="32"/>
        </w:rPr>
      </w:pPr>
      <w:r>
        <w:rPr>
          <w:rFonts w:ascii="Times New Roman" w:hAnsi="Times New Roman" w:eastAsia="仿宋_GB2312" w:cs="Times New Roman"/>
          <w:b/>
          <w:color w:val="000000"/>
          <w:kern w:val="0"/>
          <w:sz w:val="32"/>
          <w:szCs w:val="32"/>
        </w:rPr>
        <w:t>探索海上风电基地发展新模式。</w:t>
      </w:r>
      <w:r>
        <w:rPr>
          <w:rFonts w:ascii="Times New Roman" w:hAnsi="Times New Roman" w:eastAsia="仿宋_GB2312" w:cs="Times New Roman"/>
          <w:bCs/>
          <w:color w:val="000000"/>
          <w:kern w:val="0"/>
          <w:sz w:val="32"/>
          <w:szCs w:val="32"/>
        </w:rPr>
        <w:t>通过海上风电规模化发展，实现全产业链协同发展，重点在开发规模相对集中的区域，集约化打造海上风电+海洋能+储能+制氢+海洋牧场+陆上产业基地的示范项目，并出台相关配套政策，带动我省海上风电产业发展。结合海上风电开发，探索海上风电制氢、深远海碳封存、海上能源岛等新技术、新模式。</w:t>
      </w:r>
    </w:p>
    <w:p>
      <w:pPr>
        <w:pStyle w:val="9"/>
        <w:numPr>
          <w:ilvl w:val="0"/>
          <w:numId w:val="0"/>
        </w:numPr>
        <w:adjustRightInd w:val="0"/>
        <w:snapToGrid w:val="0"/>
        <w:spacing w:beforeLines="0" w:afterLines="0" w:line="579" w:lineRule="exact"/>
        <w:ind w:left="0" w:firstLine="641" w:firstLineChars="200"/>
        <w:jc w:val="left"/>
        <w:outlineLvl w:val="0"/>
        <w:rPr>
          <w:rFonts w:ascii="Times New Roman" w:hAnsi="Times New Roman" w:eastAsia="楷体_GB2312" w:cs="Times New Roman"/>
          <w:b/>
          <w:color w:val="000000"/>
          <w:sz w:val="32"/>
          <w:szCs w:val="32"/>
        </w:rPr>
      </w:pPr>
      <w:bookmarkStart w:id="69" w:name="_Toc69378098"/>
      <w:r>
        <w:rPr>
          <w:rFonts w:hint="default" w:ascii="Times New Roman" w:hAnsi="Times New Roman" w:eastAsia="楷体_GB2312" w:cs="Times New Roman"/>
          <w:b/>
          <w:color w:val="000000"/>
          <w:sz w:val="32"/>
          <w:szCs w:val="32"/>
          <w:lang w:eastAsia="zh-CN"/>
        </w:rPr>
        <w:t>（三）</w:t>
      </w:r>
      <w:r>
        <w:rPr>
          <w:rFonts w:ascii="Times New Roman" w:hAnsi="Times New Roman" w:eastAsia="楷体_GB2312" w:cs="Times New Roman"/>
          <w:b/>
          <w:color w:val="000000"/>
          <w:sz w:val="32"/>
          <w:szCs w:val="32"/>
        </w:rPr>
        <w:t>加强小水电生态监管，科学有序发展抽水蓄能</w:t>
      </w:r>
      <w:bookmarkEnd w:id="69"/>
    </w:p>
    <w:p>
      <w:pPr>
        <w:adjustRightInd w:val="0"/>
        <w:snapToGrid w:val="0"/>
        <w:spacing w:beforeLines="0" w:afterLines="0" w:line="579" w:lineRule="exact"/>
        <w:ind w:firstLine="643" w:firstLineChars="200"/>
        <w:textAlignment w:val="center"/>
        <w:rPr>
          <w:rFonts w:ascii="Times New Roman" w:hAnsi="Times New Roman" w:eastAsia="仿宋" w:cs="Times New Roman"/>
          <w:color w:val="000000"/>
          <w:sz w:val="32"/>
          <w:szCs w:val="32"/>
        </w:rPr>
      </w:pPr>
      <w:r>
        <w:rPr>
          <w:rFonts w:ascii="Times New Roman" w:hAnsi="Times New Roman" w:eastAsia="仿宋_GB2312" w:cs="Times New Roman"/>
          <w:b/>
          <w:color w:val="000000"/>
          <w:kern w:val="0"/>
          <w:sz w:val="32"/>
          <w:szCs w:val="32"/>
        </w:rPr>
        <w:t>加强小水电生态流量监管。</w:t>
      </w:r>
      <w:r>
        <w:rPr>
          <w:rFonts w:ascii="Times New Roman" w:hAnsi="Times New Roman" w:eastAsia="仿宋_GB2312" w:cs="Times New Roman"/>
          <w:color w:val="000000"/>
          <w:kern w:val="0"/>
          <w:sz w:val="32"/>
          <w:szCs w:val="32"/>
        </w:rPr>
        <w:t>巩</w:t>
      </w:r>
      <w:r>
        <w:rPr>
          <w:rFonts w:ascii="Times New Roman" w:hAnsi="Times New Roman" w:eastAsia="仿宋" w:cs="Times New Roman"/>
          <w:color w:val="000000"/>
          <w:sz w:val="32"/>
          <w:szCs w:val="32"/>
        </w:rPr>
        <w:t>固长江经济带小水电清理整改成果，通过安装监测设施对生态流量泄放情况开展监测，建立生态流量监管平台，进一步加强生态流量监管。在做好生态保护的前提下，有序推进交溪流域小水电综合开发。</w:t>
      </w:r>
    </w:p>
    <w:p>
      <w:pPr>
        <w:adjustRightInd w:val="0"/>
        <w:snapToGrid w:val="0"/>
        <w:spacing w:beforeLines="0" w:afterLines="0" w:line="579" w:lineRule="exact"/>
        <w:ind w:firstLine="643" w:firstLineChars="200"/>
        <w:textAlignment w:val="center"/>
        <w:rPr>
          <w:rFonts w:ascii="Times New Roman" w:hAnsi="Times New Roman" w:eastAsia="仿宋_GB2312" w:cs="Times New Roman"/>
          <w:bCs/>
          <w:color w:val="000000"/>
          <w:kern w:val="0"/>
          <w:sz w:val="32"/>
          <w:szCs w:val="32"/>
        </w:rPr>
      </w:pPr>
      <w:r>
        <w:rPr>
          <w:rFonts w:ascii="Times New Roman" w:hAnsi="Times New Roman" w:eastAsia="仿宋_GB2312" w:cs="Times New Roman"/>
          <w:b/>
          <w:color w:val="000000"/>
          <w:kern w:val="0"/>
          <w:sz w:val="32"/>
          <w:szCs w:val="32"/>
        </w:rPr>
        <w:t>有序发展抽水蓄能电站。</w:t>
      </w:r>
      <w:r>
        <w:rPr>
          <w:rFonts w:ascii="Times New Roman" w:hAnsi="Times New Roman" w:eastAsia="仿宋_GB2312" w:cs="Times New Roman"/>
          <w:bCs/>
          <w:color w:val="000000"/>
          <w:kern w:val="0"/>
          <w:sz w:val="32"/>
          <w:szCs w:val="32"/>
        </w:rPr>
        <w:t>积极推进长龙山、宁海、缙云、衢江、磐安等抽水蓄能开工项目的建设，稳妥开展泰顺、天台等抽水蓄能电站项目前期工作，适时启动建德、桐庐站点的前期工作。结合现有站点，合理规划布局，积极推动新一轮抽</w:t>
      </w:r>
      <w:r>
        <w:rPr>
          <w:rFonts w:hint="eastAsia" w:ascii="Times New Roman" w:hAnsi="Times New Roman" w:cs="Times New Roman"/>
          <w:bCs/>
          <w:color w:val="000000"/>
          <w:kern w:val="0"/>
          <w:sz w:val="32"/>
          <w:szCs w:val="32"/>
          <w:lang w:eastAsia="zh-CN"/>
        </w:rPr>
        <w:t>水</w:t>
      </w:r>
      <w:r>
        <w:rPr>
          <w:rFonts w:ascii="Times New Roman" w:hAnsi="Times New Roman" w:eastAsia="仿宋_GB2312" w:cs="Times New Roman"/>
          <w:bCs/>
          <w:color w:val="000000"/>
          <w:kern w:val="0"/>
          <w:sz w:val="32"/>
          <w:szCs w:val="32"/>
        </w:rPr>
        <w:t>蓄能电站选点工作。加强抽水蓄能电站建设管理体制、电价机制等研究。“十四五”期间，全省抽水蓄能电站力争新增装机容量340万千瓦，累计装机容量达到798万千瓦。</w:t>
      </w:r>
    </w:p>
    <w:p>
      <w:pPr>
        <w:adjustRightInd w:val="0"/>
        <w:snapToGrid w:val="0"/>
        <w:spacing w:beforeLines="0" w:afterLines="0" w:line="579" w:lineRule="exact"/>
        <w:ind w:firstLine="640" w:firstLineChars="200"/>
        <w:textAlignment w:val="center"/>
        <w:rPr>
          <w:rFonts w:ascii="Times New Roman" w:hAnsi="Times New Roman" w:eastAsia="仿宋_GB2312" w:cs="Times New Roman"/>
          <w:bCs/>
          <w:color w:val="000000"/>
          <w:kern w:val="0"/>
          <w:sz w:val="32"/>
          <w:szCs w:val="32"/>
        </w:rPr>
      </w:pPr>
    </w:p>
    <w:p>
      <w:pPr>
        <w:adjustRightInd w:val="0"/>
        <w:snapToGrid w:val="0"/>
        <w:spacing w:beforeLines="0" w:afterLines="0" w:line="579" w:lineRule="exact"/>
        <w:ind w:firstLine="640" w:firstLineChars="200"/>
        <w:textAlignment w:val="center"/>
        <w:rPr>
          <w:rFonts w:ascii="Times New Roman" w:hAnsi="Times New Roman" w:eastAsia="仿宋_GB2312" w:cs="Times New Roman"/>
          <w:bCs/>
          <w:color w:val="000000"/>
          <w:kern w:val="0"/>
          <w:sz w:val="32"/>
          <w:szCs w:val="32"/>
        </w:rPr>
      </w:pPr>
    </w:p>
    <w:p>
      <w:pPr>
        <w:snapToGrid w:val="0"/>
        <w:spacing w:line="579" w:lineRule="exact"/>
        <w:jc w:val="center"/>
        <w:rPr>
          <w:rFonts w:hint="default" w:ascii="Times New Roman" w:hAnsi="Times New Roman" w:eastAsia="黑体" w:cs="Times New Roman"/>
          <w:b w:val="0"/>
          <w:bCs w:val="0"/>
          <w:color w:val="000000"/>
          <w:sz w:val="32"/>
          <w:szCs w:val="32"/>
        </w:rPr>
      </w:pPr>
      <w:r>
        <w:rPr>
          <w:rFonts w:hint="default" w:ascii="Times New Roman" w:hAnsi="Times New Roman" w:eastAsia="黑体" w:cs="Times New Roman"/>
          <w:b w:val="0"/>
          <w:bCs w:val="0"/>
          <w:color w:val="000000"/>
          <w:sz w:val="28"/>
          <w:szCs w:val="28"/>
        </w:rPr>
        <w:t>表5</w:t>
      </w:r>
      <w:r>
        <w:rPr>
          <w:rFonts w:hint="default" w:ascii="Times New Roman" w:hAnsi="Times New Roman" w:eastAsia="黑体" w:cs="Times New Roman"/>
          <w:b w:val="0"/>
          <w:bCs w:val="0"/>
          <w:color w:val="000000"/>
          <w:sz w:val="28"/>
          <w:szCs w:val="28"/>
          <w:lang w:val="en-US" w:eastAsia="zh-CN"/>
        </w:rPr>
        <w:t xml:space="preserve">  </w:t>
      </w:r>
      <w:r>
        <w:rPr>
          <w:rFonts w:hint="default" w:ascii="Times New Roman" w:hAnsi="Times New Roman" w:eastAsia="黑体" w:cs="Times New Roman"/>
          <w:b w:val="0"/>
          <w:bCs w:val="0"/>
          <w:color w:val="000000"/>
          <w:sz w:val="32"/>
          <w:szCs w:val="32"/>
        </w:rPr>
        <w:t>“十四五”抽水蓄能重点项目</w:t>
      </w:r>
    </w:p>
    <w:tbl>
      <w:tblPr>
        <w:tblStyle w:val="5"/>
        <w:tblW w:w="907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5"/>
        <w:gridCol w:w="1703"/>
        <w:gridCol w:w="2762"/>
        <w:gridCol w:w="36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0" w:hRule="atLeast"/>
          <w:tblHeader/>
          <w:jc w:val="center"/>
        </w:trPr>
        <w:tc>
          <w:tcPr>
            <w:tcW w:w="925" w:type="dxa"/>
            <w:vAlign w:val="center"/>
          </w:tcPr>
          <w:p>
            <w:pPr>
              <w:widowControl/>
              <w:snapToGrid w:val="0"/>
              <w:spacing w:line="360" w:lineRule="exact"/>
              <w:jc w:val="center"/>
              <w:rPr>
                <w:rFonts w:hint="default" w:ascii="Times New Roman" w:hAnsi="Times New Roman" w:eastAsia="黑体" w:cs="Times New Roman"/>
                <w:color w:val="000000"/>
                <w:kern w:val="0"/>
                <w:sz w:val="24"/>
                <w:szCs w:val="24"/>
              </w:rPr>
            </w:pPr>
            <w:r>
              <w:rPr>
                <w:rFonts w:hint="default" w:ascii="Times New Roman" w:hAnsi="Times New Roman" w:eastAsia="黑体" w:cs="Times New Roman"/>
                <w:color w:val="000000"/>
                <w:kern w:val="0"/>
                <w:sz w:val="24"/>
                <w:szCs w:val="24"/>
              </w:rPr>
              <w:t>序号</w:t>
            </w:r>
          </w:p>
        </w:tc>
        <w:tc>
          <w:tcPr>
            <w:tcW w:w="1703" w:type="dxa"/>
            <w:vAlign w:val="center"/>
          </w:tcPr>
          <w:p>
            <w:pPr>
              <w:widowControl/>
              <w:snapToGrid w:val="0"/>
              <w:spacing w:line="360" w:lineRule="exact"/>
              <w:jc w:val="center"/>
              <w:rPr>
                <w:rFonts w:hint="default" w:ascii="Times New Roman" w:hAnsi="Times New Roman" w:eastAsia="黑体" w:cs="Times New Roman"/>
                <w:color w:val="000000"/>
                <w:kern w:val="0"/>
                <w:sz w:val="24"/>
                <w:szCs w:val="24"/>
              </w:rPr>
            </w:pPr>
            <w:r>
              <w:rPr>
                <w:rFonts w:hint="default" w:ascii="Times New Roman" w:hAnsi="Times New Roman" w:eastAsia="黑体" w:cs="Times New Roman"/>
                <w:color w:val="000000"/>
                <w:kern w:val="0"/>
                <w:sz w:val="24"/>
                <w:szCs w:val="24"/>
              </w:rPr>
              <w:t>项目名称</w:t>
            </w:r>
          </w:p>
        </w:tc>
        <w:tc>
          <w:tcPr>
            <w:tcW w:w="2762" w:type="dxa"/>
            <w:vAlign w:val="center"/>
          </w:tcPr>
          <w:p>
            <w:pPr>
              <w:widowControl/>
              <w:snapToGrid w:val="0"/>
              <w:spacing w:line="360" w:lineRule="exact"/>
              <w:jc w:val="center"/>
              <w:rPr>
                <w:rFonts w:hint="default" w:ascii="Times New Roman" w:hAnsi="Times New Roman" w:eastAsia="黑体" w:cs="Times New Roman"/>
                <w:color w:val="000000"/>
                <w:kern w:val="0"/>
                <w:sz w:val="24"/>
                <w:szCs w:val="24"/>
              </w:rPr>
            </w:pPr>
            <w:r>
              <w:rPr>
                <w:rFonts w:hint="default" w:ascii="Times New Roman" w:hAnsi="Times New Roman" w:eastAsia="黑体" w:cs="Times New Roman"/>
                <w:color w:val="000000"/>
                <w:kern w:val="0"/>
                <w:sz w:val="24"/>
                <w:szCs w:val="24"/>
              </w:rPr>
              <w:t>装机容量（万千瓦）</w:t>
            </w:r>
          </w:p>
        </w:tc>
        <w:tc>
          <w:tcPr>
            <w:tcW w:w="3681" w:type="dxa"/>
            <w:vAlign w:val="center"/>
          </w:tcPr>
          <w:p>
            <w:pPr>
              <w:widowControl/>
              <w:snapToGrid w:val="0"/>
              <w:spacing w:line="360" w:lineRule="exact"/>
              <w:jc w:val="center"/>
              <w:rPr>
                <w:rFonts w:hint="default" w:ascii="Times New Roman" w:hAnsi="Times New Roman" w:eastAsia="黑体" w:cs="Times New Roman"/>
                <w:color w:val="000000"/>
                <w:kern w:val="0"/>
                <w:sz w:val="24"/>
                <w:szCs w:val="24"/>
              </w:rPr>
            </w:pPr>
            <w:r>
              <w:rPr>
                <w:rFonts w:hint="default" w:ascii="Times New Roman" w:hAnsi="Times New Roman" w:eastAsia="黑体" w:cs="Times New Roman"/>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0" w:hRule="atLeast"/>
          <w:jc w:val="center"/>
        </w:trPr>
        <w:tc>
          <w:tcPr>
            <w:tcW w:w="9071" w:type="dxa"/>
            <w:gridSpan w:val="4"/>
            <w:vAlign w:val="center"/>
          </w:tcPr>
          <w:p>
            <w:pPr>
              <w:widowControl/>
              <w:snapToGrid w:val="0"/>
              <w:spacing w:line="360" w:lineRule="exact"/>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已开工项目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0" w:hRule="atLeast"/>
          <w:jc w:val="center"/>
        </w:trPr>
        <w:tc>
          <w:tcPr>
            <w:tcW w:w="925" w:type="dxa"/>
            <w:vAlign w:val="center"/>
          </w:tcPr>
          <w:p>
            <w:pPr>
              <w:widowControl/>
              <w:snapToGrid w:val="0"/>
              <w:spacing w:line="360" w:lineRule="exact"/>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1</w:t>
            </w:r>
          </w:p>
        </w:tc>
        <w:tc>
          <w:tcPr>
            <w:tcW w:w="1703" w:type="dxa"/>
            <w:vAlign w:val="center"/>
          </w:tcPr>
          <w:p>
            <w:pPr>
              <w:widowControl/>
              <w:snapToGrid w:val="0"/>
              <w:spacing w:line="360" w:lineRule="exact"/>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长龙山</w:t>
            </w:r>
          </w:p>
        </w:tc>
        <w:tc>
          <w:tcPr>
            <w:tcW w:w="2762" w:type="dxa"/>
            <w:vAlign w:val="center"/>
          </w:tcPr>
          <w:p>
            <w:pPr>
              <w:widowControl/>
              <w:snapToGrid w:val="0"/>
              <w:spacing w:line="360" w:lineRule="exact"/>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210</w:t>
            </w:r>
          </w:p>
        </w:tc>
        <w:tc>
          <w:tcPr>
            <w:tcW w:w="3681" w:type="dxa"/>
            <w:vAlign w:val="top"/>
          </w:tcPr>
          <w:p>
            <w:pPr>
              <w:widowControl/>
              <w:snapToGrid w:val="0"/>
              <w:spacing w:line="360" w:lineRule="exact"/>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计划2022年全部投产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0" w:hRule="atLeast"/>
          <w:jc w:val="center"/>
        </w:trPr>
        <w:tc>
          <w:tcPr>
            <w:tcW w:w="925" w:type="dxa"/>
            <w:vAlign w:val="center"/>
          </w:tcPr>
          <w:p>
            <w:pPr>
              <w:widowControl/>
              <w:snapToGrid w:val="0"/>
              <w:spacing w:line="360" w:lineRule="exact"/>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2</w:t>
            </w:r>
          </w:p>
        </w:tc>
        <w:tc>
          <w:tcPr>
            <w:tcW w:w="1703" w:type="dxa"/>
            <w:vAlign w:val="center"/>
          </w:tcPr>
          <w:p>
            <w:pPr>
              <w:widowControl/>
              <w:snapToGrid w:val="0"/>
              <w:spacing w:line="360" w:lineRule="exact"/>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宁海</w:t>
            </w:r>
          </w:p>
        </w:tc>
        <w:tc>
          <w:tcPr>
            <w:tcW w:w="2762" w:type="dxa"/>
            <w:vAlign w:val="center"/>
          </w:tcPr>
          <w:p>
            <w:pPr>
              <w:widowControl/>
              <w:snapToGrid w:val="0"/>
              <w:spacing w:line="360" w:lineRule="exact"/>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140</w:t>
            </w:r>
          </w:p>
        </w:tc>
        <w:tc>
          <w:tcPr>
            <w:tcW w:w="3681" w:type="dxa"/>
            <w:vAlign w:val="top"/>
          </w:tcPr>
          <w:p>
            <w:pPr>
              <w:widowControl/>
              <w:snapToGrid w:val="0"/>
              <w:spacing w:line="360" w:lineRule="exact"/>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计划2025年投产70万千瓦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0" w:hRule="atLeast"/>
          <w:jc w:val="center"/>
        </w:trPr>
        <w:tc>
          <w:tcPr>
            <w:tcW w:w="925" w:type="dxa"/>
            <w:vAlign w:val="center"/>
          </w:tcPr>
          <w:p>
            <w:pPr>
              <w:widowControl/>
              <w:snapToGrid w:val="0"/>
              <w:spacing w:line="360" w:lineRule="exact"/>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3</w:t>
            </w:r>
          </w:p>
        </w:tc>
        <w:tc>
          <w:tcPr>
            <w:tcW w:w="1703" w:type="dxa"/>
            <w:vAlign w:val="center"/>
          </w:tcPr>
          <w:p>
            <w:pPr>
              <w:widowControl/>
              <w:snapToGrid w:val="0"/>
              <w:spacing w:line="360" w:lineRule="exact"/>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缙云</w:t>
            </w:r>
          </w:p>
        </w:tc>
        <w:tc>
          <w:tcPr>
            <w:tcW w:w="2762" w:type="dxa"/>
            <w:vAlign w:val="center"/>
          </w:tcPr>
          <w:p>
            <w:pPr>
              <w:widowControl/>
              <w:snapToGrid w:val="0"/>
              <w:spacing w:line="360" w:lineRule="exact"/>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180</w:t>
            </w:r>
          </w:p>
        </w:tc>
        <w:tc>
          <w:tcPr>
            <w:tcW w:w="3681" w:type="dxa"/>
            <w:vAlign w:val="top"/>
          </w:tcPr>
          <w:p>
            <w:pPr>
              <w:widowControl/>
              <w:snapToGrid w:val="0"/>
              <w:spacing w:line="360" w:lineRule="exact"/>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计划2025年投产60万千瓦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0" w:hRule="atLeast"/>
          <w:jc w:val="center"/>
        </w:trPr>
        <w:tc>
          <w:tcPr>
            <w:tcW w:w="925" w:type="dxa"/>
            <w:vAlign w:val="center"/>
          </w:tcPr>
          <w:p>
            <w:pPr>
              <w:widowControl/>
              <w:snapToGrid w:val="0"/>
              <w:spacing w:line="360" w:lineRule="exact"/>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4</w:t>
            </w:r>
          </w:p>
        </w:tc>
        <w:tc>
          <w:tcPr>
            <w:tcW w:w="1703" w:type="dxa"/>
            <w:vAlign w:val="center"/>
          </w:tcPr>
          <w:p>
            <w:pPr>
              <w:widowControl/>
              <w:snapToGrid w:val="0"/>
              <w:spacing w:line="360" w:lineRule="exact"/>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衢江</w:t>
            </w:r>
          </w:p>
        </w:tc>
        <w:tc>
          <w:tcPr>
            <w:tcW w:w="2762" w:type="dxa"/>
            <w:vAlign w:val="center"/>
          </w:tcPr>
          <w:p>
            <w:pPr>
              <w:widowControl/>
              <w:snapToGrid w:val="0"/>
              <w:spacing w:line="360" w:lineRule="exact"/>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120</w:t>
            </w:r>
          </w:p>
        </w:tc>
        <w:tc>
          <w:tcPr>
            <w:tcW w:w="3681" w:type="dxa"/>
            <w:vAlign w:val="top"/>
          </w:tcPr>
          <w:p>
            <w:pPr>
              <w:widowControl/>
              <w:snapToGrid w:val="0"/>
              <w:spacing w:line="360" w:lineRule="exact"/>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已开工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0" w:hRule="atLeast"/>
          <w:jc w:val="center"/>
        </w:trPr>
        <w:tc>
          <w:tcPr>
            <w:tcW w:w="925" w:type="dxa"/>
            <w:vAlign w:val="center"/>
          </w:tcPr>
          <w:p>
            <w:pPr>
              <w:widowControl/>
              <w:snapToGrid w:val="0"/>
              <w:spacing w:line="360" w:lineRule="exact"/>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5</w:t>
            </w:r>
          </w:p>
        </w:tc>
        <w:tc>
          <w:tcPr>
            <w:tcW w:w="1703" w:type="dxa"/>
            <w:vAlign w:val="center"/>
          </w:tcPr>
          <w:p>
            <w:pPr>
              <w:widowControl/>
              <w:snapToGrid w:val="0"/>
              <w:spacing w:line="360" w:lineRule="exact"/>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磐安</w:t>
            </w:r>
          </w:p>
        </w:tc>
        <w:tc>
          <w:tcPr>
            <w:tcW w:w="2762" w:type="dxa"/>
            <w:vAlign w:val="center"/>
          </w:tcPr>
          <w:p>
            <w:pPr>
              <w:widowControl/>
              <w:snapToGrid w:val="0"/>
              <w:spacing w:line="360" w:lineRule="exact"/>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120</w:t>
            </w:r>
          </w:p>
        </w:tc>
        <w:tc>
          <w:tcPr>
            <w:tcW w:w="3681" w:type="dxa"/>
            <w:vAlign w:val="top"/>
          </w:tcPr>
          <w:p>
            <w:pPr>
              <w:widowControl/>
              <w:snapToGrid w:val="0"/>
              <w:spacing w:line="360" w:lineRule="exact"/>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已开工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0" w:hRule="atLeast"/>
          <w:jc w:val="center"/>
        </w:trPr>
        <w:tc>
          <w:tcPr>
            <w:tcW w:w="925" w:type="dxa"/>
            <w:vAlign w:val="center"/>
          </w:tcPr>
          <w:p>
            <w:pPr>
              <w:widowControl/>
              <w:snapToGrid w:val="0"/>
              <w:spacing w:line="360" w:lineRule="exact"/>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小计</w:t>
            </w:r>
          </w:p>
        </w:tc>
        <w:tc>
          <w:tcPr>
            <w:tcW w:w="1703" w:type="dxa"/>
            <w:vAlign w:val="center"/>
          </w:tcPr>
          <w:p>
            <w:pPr>
              <w:widowControl/>
              <w:snapToGrid w:val="0"/>
              <w:spacing w:line="360" w:lineRule="exact"/>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　</w:t>
            </w:r>
          </w:p>
        </w:tc>
        <w:tc>
          <w:tcPr>
            <w:tcW w:w="2762" w:type="dxa"/>
            <w:vAlign w:val="center"/>
          </w:tcPr>
          <w:p>
            <w:pPr>
              <w:widowControl/>
              <w:snapToGrid w:val="0"/>
              <w:spacing w:line="360" w:lineRule="exact"/>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770</w:t>
            </w:r>
          </w:p>
        </w:tc>
        <w:tc>
          <w:tcPr>
            <w:tcW w:w="3681" w:type="dxa"/>
            <w:vAlign w:val="center"/>
          </w:tcPr>
          <w:p>
            <w:pPr>
              <w:widowControl/>
              <w:snapToGrid w:val="0"/>
              <w:spacing w:line="360" w:lineRule="exact"/>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0" w:hRule="atLeast"/>
          <w:jc w:val="center"/>
        </w:trPr>
        <w:tc>
          <w:tcPr>
            <w:tcW w:w="9071" w:type="dxa"/>
            <w:gridSpan w:val="4"/>
            <w:vAlign w:val="center"/>
          </w:tcPr>
          <w:p>
            <w:pPr>
              <w:widowControl/>
              <w:snapToGrid w:val="0"/>
              <w:spacing w:line="360" w:lineRule="exact"/>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计划开工项目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0" w:hRule="atLeast"/>
          <w:jc w:val="center"/>
        </w:trPr>
        <w:tc>
          <w:tcPr>
            <w:tcW w:w="925" w:type="dxa"/>
            <w:vAlign w:val="center"/>
          </w:tcPr>
          <w:p>
            <w:pPr>
              <w:widowControl/>
              <w:snapToGrid w:val="0"/>
              <w:spacing w:line="360" w:lineRule="exact"/>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1</w:t>
            </w:r>
          </w:p>
        </w:tc>
        <w:tc>
          <w:tcPr>
            <w:tcW w:w="1703" w:type="dxa"/>
            <w:vAlign w:val="center"/>
          </w:tcPr>
          <w:p>
            <w:pPr>
              <w:widowControl/>
              <w:snapToGrid w:val="0"/>
              <w:spacing w:line="360" w:lineRule="exact"/>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泰顺</w:t>
            </w:r>
          </w:p>
        </w:tc>
        <w:tc>
          <w:tcPr>
            <w:tcW w:w="2762" w:type="dxa"/>
            <w:vAlign w:val="center"/>
          </w:tcPr>
          <w:p>
            <w:pPr>
              <w:widowControl/>
              <w:snapToGrid w:val="0"/>
              <w:spacing w:line="360" w:lineRule="exact"/>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120</w:t>
            </w:r>
          </w:p>
        </w:tc>
        <w:tc>
          <w:tcPr>
            <w:tcW w:w="3681" w:type="dxa"/>
            <w:vAlign w:val="top"/>
          </w:tcPr>
          <w:p>
            <w:pPr>
              <w:widowControl/>
              <w:snapToGrid w:val="0"/>
              <w:spacing w:line="360" w:lineRule="exact"/>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计划开工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0" w:hRule="atLeast"/>
          <w:jc w:val="center"/>
        </w:trPr>
        <w:tc>
          <w:tcPr>
            <w:tcW w:w="925" w:type="dxa"/>
            <w:vAlign w:val="center"/>
          </w:tcPr>
          <w:p>
            <w:pPr>
              <w:widowControl/>
              <w:snapToGrid w:val="0"/>
              <w:spacing w:line="360" w:lineRule="exact"/>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2</w:t>
            </w:r>
          </w:p>
        </w:tc>
        <w:tc>
          <w:tcPr>
            <w:tcW w:w="1703" w:type="dxa"/>
            <w:vAlign w:val="center"/>
          </w:tcPr>
          <w:p>
            <w:pPr>
              <w:widowControl/>
              <w:snapToGrid w:val="0"/>
              <w:spacing w:line="360" w:lineRule="exact"/>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天台</w:t>
            </w:r>
          </w:p>
        </w:tc>
        <w:tc>
          <w:tcPr>
            <w:tcW w:w="2762" w:type="dxa"/>
            <w:vAlign w:val="center"/>
          </w:tcPr>
          <w:p>
            <w:pPr>
              <w:widowControl/>
              <w:snapToGrid w:val="0"/>
              <w:spacing w:line="360" w:lineRule="exact"/>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170</w:t>
            </w:r>
          </w:p>
        </w:tc>
        <w:tc>
          <w:tcPr>
            <w:tcW w:w="3681" w:type="dxa"/>
            <w:vAlign w:val="top"/>
          </w:tcPr>
          <w:p>
            <w:pPr>
              <w:widowControl/>
              <w:snapToGrid w:val="0"/>
              <w:spacing w:line="360" w:lineRule="exact"/>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计划开工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0" w:hRule="atLeast"/>
          <w:jc w:val="center"/>
        </w:trPr>
        <w:tc>
          <w:tcPr>
            <w:tcW w:w="925" w:type="dxa"/>
            <w:vAlign w:val="center"/>
          </w:tcPr>
          <w:p>
            <w:pPr>
              <w:widowControl/>
              <w:snapToGrid w:val="0"/>
              <w:spacing w:line="360" w:lineRule="exact"/>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3</w:t>
            </w:r>
          </w:p>
        </w:tc>
        <w:tc>
          <w:tcPr>
            <w:tcW w:w="1703" w:type="dxa"/>
            <w:vAlign w:val="center"/>
          </w:tcPr>
          <w:p>
            <w:pPr>
              <w:widowControl/>
              <w:snapToGrid w:val="0"/>
              <w:spacing w:line="360" w:lineRule="exact"/>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建德</w:t>
            </w:r>
          </w:p>
        </w:tc>
        <w:tc>
          <w:tcPr>
            <w:tcW w:w="2762" w:type="dxa"/>
            <w:vAlign w:val="center"/>
          </w:tcPr>
          <w:p>
            <w:pPr>
              <w:widowControl/>
              <w:snapToGrid w:val="0"/>
              <w:spacing w:line="360" w:lineRule="exact"/>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240</w:t>
            </w:r>
          </w:p>
        </w:tc>
        <w:tc>
          <w:tcPr>
            <w:tcW w:w="3681" w:type="dxa"/>
            <w:vAlign w:val="top"/>
          </w:tcPr>
          <w:p>
            <w:pPr>
              <w:widowControl/>
              <w:snapToGrid w:val="0"/>
              <w:spacing w:line="360" w:lineRule="exact"/>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计划开工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0" w:hRule="atLeast"/>
          <w:jc w:val="center"/>
        </w:trPr>
        <w:tc>
          <w:tcPr>
            <w:tcW w:w="925" w:type="dxa"/>
            <w:vAlign w:val="center"/>
          </w:tcPr>
          <w:p>
            <w:pPr>
              <w:widowControl/>
              <w:snapToGrid w:val="0"/>
              <w:spacing w:line="360" w:lineRule="exact"/>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4</w:t>
            </w:r>
          </w:p>
        </w:tc>
        <w:tc>
          <w:tcPr>
            <w:tcW w:w="1703" w:type="dxa"/>
            <w:vAlign w:val="center"/>
          </w:tcPr>
          <w:p>
            <w:pPr>
              <w:widowControl/>
              <w:snapToGrid w:val="0"/>
              <w:spacing w:line="360" w:lineRule="exact"/>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桐庐</w:t>
            </w:r>
          </w:p>
        </w:tc>
        <w:tc>
          <w:tcPr>
            <w:tcW w:w="2762" w:type="dxa"/>
            <w:vAlign w:val="center"/>
          </w:tcPr>
          <w:p>
            <w:pPr>
              <w:widowControl/>
              <w:snapToGrid w:val="0"/>
              <w:spacing w:line="360" w:lineRule="exact"/>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120</w:t>
            </w:r>
          </w:p>
        </w:tc>
        <w:tc>
          <w:tcPr>
            <w:tcW w:w="3681" w:type="dxa"/>
            <w:vAlign w:val="top"/>
          </w:tcPr>
          <w:p>
            <w:pPr>
              <w:widowControl/>
              <w:snapToGrid w:val="0"/>
              <w:spacing w:line="360" w:lineRule="exact"/>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计划开工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0" w:hRule="atLeast"/>
          <w:jc w:val="center"/>
        </w:trPr>
        <w:tc>
          <w:tcPr>
            <w:tcW w:w="925" w:type="dxa"/>
            <w:vAlign w:val="center"/>
          </w:tcPr>
          <w:p>
            <w:pPr>
              <w:widowControl/>
              <w:snapToGrid w:val="0"/>
              <w:spacing w:line="360" w:lineRule="exact"/>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小计</w:t>
            </w:r>
          </w:p>
        </w:tc>
        <w:tc>
          <w:tcPr>
            <w:tcW w:w="1703" w:type="dxa"/>
            <w:vAlign w:val="center"/>
          </w:tcPr>
          <w:p>
            <w:pPr>
              <w:widowControl/>
              <w:snapToGrid w:val="0"/>
              <w:spacing w:line="360" w:lineRule="exact"/>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　</w:t>
            </w:r>
          </w:p>
        </w:tc>
        <w:tc>
          <w:tcPr>
            <w:tcW w:w="2762" w:type="dxa"/>
            <w:vAlign w:val="center"/>
          </w:tcPr>
          <w:p>
            <w:pPr>
              <w:widowControl/>
              <w:snapToGrid w:val="0"/>
              <w:spacing w:line="360" w:lineRule="exact"/>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650</w:t>
            </w:r>
          </w:p>
        </w:tc>
        <w:tc>
          <w:tcPr>
            <w:tcW w:w="3681" w:type="dxa"/>
            <w:vAlign w:val="center"/>
          </w:tcPr>
          <w:p>
            <w:pPr>
              <w:widowControl/>
              <w:snapToGrid w:val="0"/>
              <w:spacing w:line="360" w:lineRule="exact"/>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0" w:hRule="atLeast"/>
          <w:jc w:val="center"/>
        </w:trPr>
        <w:tc>
          <w:tcPr>
            <w:tcW w:w="925" w:type="dxa"/>
            <w:vAlign w:val="center"/>
          </w:tcPr>
          <w:p>
            <w:pPr>
              <w:widowControl/>
              <w:snapToGrid w:val="0"/>
              <w:spacing w:line="360" w:lineRule="exact"/>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合计</w:t>
            </w:r>
          </w:p>
        </w:tc>
        <w:tc>
          <w:tcPr>
            <w:tcW w:w="1703" w:type="dxa"/>
            <w:vAlign w:val="center"/>
          </w:tcPr>
          <w:p>
            <w:pPr>
              <w:widowControl/>
              <w:snapToGrid w:val="0"/>
              <w:spacing w:line="360" w:lineRule="exact"/>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　</w:t>
            </w:r>
          </w:p>
        </w:tc>
        <w:tc>
          <w:tcPr>
            <w:tcW w:w="2762" w:type="dxa"/>
            <w:vAlign w:val="center"/>
          </w:tcPr>
          <w:p>
            <w:pPr>
              <w:widowControl/>
              <w:snapToGrid w:val="0"/>
              <w:spacing w:line="360" w:lineRule="exact"/>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1420</w:t>
            </w:r>
          </w:p>
        </w:tc>
        <w:tc>
          <w:tcPr>
            <w:tcW w:w="3681" w:type="dxa"/>
            <w:vAlign w:val="center"/>
          </w:tcPr>
          <w:p>
            <w:pPr>
              <w:widowControl/>
              <w:snapToGrid w:val="0"/>
              <w:spacing w:line="360" w:lineRule="exact"/>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　</w:t>
            </w:r>
          </w:p>
        </w:tc>
      </w:tr>
    </w:tbl>
    <w:p>
      <w:pPr>
        <w:pStyle w:val="9"/>
        <w:numPr>
          <w:ilvl w:val="0"/>
          <w:numId w:val="0"/>
        </w:numPr>
        <w:adjustRightInd w:val="0"/>
        <w:snapToGrid w:val="0"/>
        <w:spacing w:beforeLines="0" w:afterLines="0" w:line="579" w:lineRule="exact"/>
        <w:ind w:left="0" w:firstLine="641" w:firstLineChars="200"/>
        <w:jc w:val="both"/>
        <w:outlineLvl w:val="0"/>
        <w:rPr>
          <w:rFonts w:ascii="Times New Roman" w:hAnsi="Times New Roman" w:eastAsia="楷体_GB2312" w:cs="Times New Roman"/>
          <w:b/>
          <w:color w:val="000000"/>
          <w:sz w:val="32"/>
          <w:szCs w:val="32"/>
        </w:rPr>
      </w:pPr>
      <w:bookmarkStart w:id="70" w:name="_Toc69378099"/>
      <w:r>
        <w:rPr>
          <w:rFonts w:hint="default" w:ascii="Times New Roman" w:hAnsi="Times New Roman" w:eastAsia="楷体_GB2312" w:cs="Times New Roman"/>
          <w:b/>
          <w:color w:val="000000"/>
          <w:sz w:val="32"/>
          <w:szCs w:val="32"/>
          <w:lang w:eastAsia="zh-CN"/>
        </w:rPr>
        <w:t>（四）</w:t>
      </w:r>
      <w:r>
        <w:rPr>
          <w:rFonts w:ascii="Times New Roman" w:hAnsi="Times New Roman" w:eastAsia="楷体_GB2312" w:cs="Times New Roman"/>
          <w:b/>
          <w:color w:val="000000"/>
          <w:sz w:val="32"/>
          <w:szCs w:val="32"/>
        </w:rPr>
        <w:t>按需推进垃圾发电项目，鼓励农林生物质和沼气发电</w:t>
      </w:r>
      <w:bookmarkEnd w:id="70"/>
    </w:p>
    <w:p>
      <w:pPr>
        <w:adjustRightInd w:val="0"/>
        <w:snapToGrid w:val="0"/>
        <w:spacing w:beforeLines="0" w:afterLines="0" w:line="579" w:lineRule="exact"/>
        <w:ind w:firstLine="643" w:firstLineChars="200"/>
        <w:jc w:val="both"/>
        <w:textAlignment w:val="center"/>
        <w:rPr>
          <w:rFonts w:ascii="Times New Roman" w:hAnsi="Times New Roman" w:eastAsia="仿宋_GB2312" w:cs="Times New Roman"/>
          <w:bCs/>
          <w:color w:val="000000"/>
          <w:kern w:val="0"/>
          <w:sz w:val="32"/>
          <w:szCs w:val="32"/>
        </w:rPr>
      </w:pPr>
      <w:r>
        <w:rPr>
          <w:rFonts w:ascii="Times New Roman" w:hAnsi="Times New Roman" w:eastAsia="仿宋_GB2312" w:cs="Times New Roman"/>
          <w:b/>
          <w:color w:val="000000"/>
          <w:kern w:val="0"/>
          <w:sz w:val="32"/>
          <w:szCs w:val="32"/>
        </w:rPr>
        <w:t>按需推进垃圾焚烧项目。</w:t>
      </w:r>
      <w:r>
        <w:rPr>
          <w:rFonts w:ascii="Times New Roman" w:hAnsi="Times New Roman" w:eastAsia="仿宋_GB2312" w:cs="Times New Roman"/>
          <w:color w:val="000000"/>
          <w:kern w:val="0"/>
          <w:sz w:val="32"/>
          <w:szCs w:val="32"/>
        </w:rPr>
        <w:t>加强垃圾发电项目前期管理与选址，在合理选址和保护环境的前提下，加大生活垃圾焚烧发电设施建设力度。</w:t>
      </w:r>
      <w:r>
        <w:rPr>
          <w:rFonts w:ascii="Times New Roman" w:hAnsi="Times New Roman" w:eastAsia="仿宋_GB2312" w:cs="Times New Roman"/>
          <w:bCs/>
          <w:color w:val="000000"/>
          <w:kern w:val="0"/>
          <w:sz w:val="32"/>
          <w:szCs w:val="32"/>
        </w:rPr>
        <w:t>因地制宜选择安全可靠、技术成熟、先进环保、经济适用的处理技术。生活垃圾焚烧发电设施要同步落实飞灰的安全、无害化处置场所，防止产生二次污染。“十四五”期间，垃圾焚烧发电新增装机容量50万千瓦，累计装机容量达到260万千瓦。</w:t>
      </w:r>
    </w:p>
    <w:p>
      <w:pPr>
        <w:adjustRightInd w:val="0"/>
        <w:snapToGrid w:val="0"/>
        <w:spacing w:beforeLines="0" w:afterLines="0" w:line="579" w:lineRule="exact"/>
        <w:ind w:firstLine="643" w:firstLineChars="200"/>
        <w:jc w:val="both"/>
        <w:textAlignment w:val="center"/>
        <w:rPr>
          <w:rFonts w:ascii="Times New Roman" w:hAnsi="Times New Roman" w:eastAsia="仿宋_GB2312" w:cs="Times New Roman"/>
          <w:bCs/>
          <w:color w:val="000000"/>
          <w:kern w:val="0"/>
          <w:sz w:val="32"/>
          <w:szCs w:val="32"/>
        </w:rPr>
      </w:pPr>
      <w:r>
        <w:rPr>
          <w:rFonts w:ascii="Times New Roman" w:hAnsi="Times New Roman" w:eastAsia="仿宋_GB2312" w:cs="Times New Roman"/>
          <w:b/>
          <w:color w:val="000000"/>
          <w:kern w:val="0"/>
          <w:sz w:val="32"/>
          <w:szCs w:val="32"/>
        </w:rPr>
        <w:t>因地制宜发展农林生物质和沼气发电。</w:t>
      </w:r>
      <w:r>
        <w:rPr>
          <w:rFonts w:ascii="Times New Roman" w:hAnsi="Times New Roman" w:eastAsia="仿宋_GB2312" w:cs="Times New Roman"/>
          <w:color w:val="000000"/>
          <w:kern w:val="0"/>
          <w:sz w:val="32"/>
          <w:szCs w:val="32"/>
        </w:rPr>
        <w:t>根据生物质资源分布特性，</w:t>
      </w:r>
      <w:r>
        <w:rPr>
          <w:rFonts w:ascii="Times New Roman" w:hAnsi="Times New Roman" w:eastAsia="仿宋_GB2312" w:cs="Times New Roman"/>
          <w:bCs/>
          <w:color w:val="000000"/>
          <w:kern w:val="0"/>
          <w:sz w:val="32"/>
          <w:szCs w:val="32"/>
        </w:rPr>
        <w:t>在</w:t>
      </w:r>
      <w:r>
        <w:rPr>
          <w:rFonts w:ascii="Times New Roman" w:hAnsi="Times New Roman" w:eastAsia="仿宋_GB2312" w:cs="Times New Roman"/>
          <w:color w:val="000000"/>
          <w:kern w:val="0"/>
          <w:sz w:val="32"/>
          <w:szCs w:val="32"/>
        </w:rPr>
        <w:t>农林生物质富集</w:t>
      </w:r>
      <w:r>
        <w:rPr>
          <w:rFonts w:ascii="Times New Roman" w:hAnsi="Times New Roman" w:eastAsia="仿宋_GB2312" w:cs="Times New Roman"/>
          <w:bCs/>
          <w:color w:val="000000"/>
          <w:kern w:val="0"/>
          <w:sz w:val="32"/>
          <w:szCs w:val="32"/>
        </w:rPr>
        <w:t>地区，</w:t>
      </w:r>
      <w:r>
        <w:rPr>
          <w:rFonts w:ascii="Times New Roman" w:hAnsi="Times New Roman" w:eastAsia="仿宋_GB2312" w:cs="Times New Roman"/>
          <w:color w:val="000000"/>
          <w:kern w:val="0"/>
          <w:sz w:val="32"/>
          <w:szCs w:val="32"/>
        </w:rPr>
        <w:t>科学合理建设农林生物质电站</w:t>
      </w:r>
      <w:r>
        <w:rPr>
          <w:rFonts w:ascii="Times New Roman" w:hAnsi="Times New Roman" w:eastAsia="仿宋_GB2312" w:cs="Times New Roman"/>
          <w:bCs/>
          <w:color w:val="000000"/>
          <w:kern w:val="0"/>
          <w:sz w:val="32"/>
          <w:szCs w:val="32"/>
        </w:rPr>
        <w:t>。根据畜禽养殖场、城市污水处理厂等分布，因地制宜推动沼气发电工程建设。</w:t>
      </w:r>
    </w:p>
    <w:p>
      <w:pPr>
        <w:pStyle w:val="9"/>
        <w:numPr>
          <w:ilvl w:val="0"/>
          <w:numId w:val="0"/>
        </w:numPr>
        <w:adjustRightInd w:val="0"/>
        <w:snapToGrid w:val="0"/>
        <w:spacing w:beforeLines="0" w:afterLines="0" w:line="579" w:lineRule="exact"/>
        <w:ind w:left="0" w:firstLine="641" w:firstLineChars="200"/>
        <w:jc w:val="left"/>
        <w:outlineLvl w:val="0"/>
        <w:rPr>
          <w:rFonts w:ascii="Times New Roman" w:hAnsi="Times New Roman" w:eastAsia="楷体_GB2312" w:cs="Times New Roman"/>
          <w:b/>
          <w:color w:val="000000"/>
          <w:sz w:val="32"/>
          <w:szCs w:val="32"/>
        </w:rPr>
      </w:pPr>
      <w:bookmarkStart w:id="71" w:name="_Toc69378100"/>
      <w:r>
        <w:rPr>
          <w:rFonts w:hint="default" w:ascii="Times New Roman" w:hAnsi="Times New Roman" w:eastAsia="楷体_GB2312" w:cs="Times New Roman"/>
          <w:b/>
          <w:color w:val="000000"/>
          <w:sz w:val="32"/>
          <w:szCs w:val="32"/>
          <w:lang w:eastAsia="zh-CN"/>
        </w:rPr>
        <w:t>（五）</w:t>
      </w:r>
      <w:r>
        <w:rPr>
          <w:rFonts w:ascii="Times New Roman" w:hAnsi="Times New Roman" w:eastAsia="楷体_GB2312" w:cs="Times New Roman"/>
          <w:b/>
          <w:color w:val="000000"/>
          <w:sz w:val="32"/>
          <w:szCs w:val="32"/>
        </w:rPr>
        <w:t>鼓励海洋能装备研发，倡导地热能融合发展</w:t>
      </w:r>
      <w:bookmarkEnd w:id="71"/>
    </w:p>
    <w:p>
      <w:pPr>
        <w:adjustRightInd w:val="0"/>
        <w:snapToGrid w:val="0"/>
        <w:spacing w:beforeLines="0" w:afterLines="0" w:line="579" w:lineRule="exact"/>
        <w:ind w:left="0" w:firstLine="640" w:firstLineChars="200"/>
        <w:textAlignment w:val="center"/>
        <w:rPr>
          <w:rFonts w:ascii="Times New Roman" w:hAnsi="Times New Roman" w:eastAsia="仿宋" w:cs="Times New Roman"/>
          <w:color w:val="000000"/>
          <w:sz w:val="30"/>
          <w:szCs w:val="30"/>
        </w:rPr>
      </w:pPr>
      <w:bookmarkStart w:id="72" w:name="_Toc61460273"/>
      <w:bookmarkEnd w:id="72"/>
      <w:r>
        <w:rPr>
          <w:rFonts w:ascii="Times New Roman" w:hAnsi="Times New Roman" w:eastAsia="仿宋_GB2312" w:cs="Times New Roman"/>
          <w:bCs/>
          <w:color w:val="000000"/>
          <w:kern w:val="0"/>
          <w:sz w:val="32"/>
          <w:szCs w:val="32"/>
        </w:rPr>
        <w:t>推动海洋能开发利用新技术、新装备的创新研发与示范应用，加快以大容量潮流能发电装置为代表的核心装备升级，保持我省在海洋能技术研发与应用方面的领先地位，为海洋能规模化、商业化提供技术储备和装备支持。积极探索海洋能在海岛能源供给和海洋水产养殖电力供应方面的推广应用，并鼓励开展海洋能与海上风电的综合开发试验示范。</w:t>
      </w:r>
    </w:p>
    <w:p>
      <w:pPr>
        <w:adjustRightInd w:val="0"/>
        <w:snapToGrid w:val="0"/>
        <w:spacing w:beforeLines="0" w:afterLines="0" w:line="579" w:lineRule="exact"/>
        <w:ind w:firstLine="640" w:firstLineChars="200"/>
        <w:jc w:val="left"/>
        <w:textAlignment w:val="center"/>
        <w:rPr>
          <w:rFonts w:ascii="Times New Roman" w:hAnsi="Times New Roman" w:eastAsia="仿宋_GB2312" w:cs="Times New Roman"/>
          <w:color w:val="000000"/>
          <w:sz w:val="32"/>
          <w:szCs w:val="32"/>
        </w:rPr>
      </w:pPr>
      <w:r>
        <w:rPr>
          <w:rFonts w:ascii="Times New Roman" w:hAnsi="Times New Roman" w:eastAsia="仿宋_GB2312" w:cs="Times New Roman"/>
          <w:bCs/>
          <w:color w:val="000000"/>
          <w:kern w:val="0"/>
          <w:sz w:val="32"/>
          <w:szCs w:val="32"/>
        </w:rPr>
        <w:t>鼓励利用浅层地热能资源在公用建筑、别墅群、联排别墅区进行供冷供暖。引导浅层地热能利用向普通民用住宅领域渗透拓展，与新农村建设相结合，在农村普及推广。结合地热能在旅游度假、温泉康养等的应用，倡导地热能与温室大棚、恒温养殖等产业的融合发展，扩展地热能应用场景，推动地热能综合利用示范项目。</w:t>
      </w:r>
    </w:p>
    <w:p>
      <w:pPr>
        <w:pStyle w:val="9"/>
        <w:numPr>
          <w:ilvl w:val="0"/>
          <w:numId w:val="0"/>
        </w:numPr>
        <w:adjustRightInd w:val="0"/>
        <w:snapToGrid w:val="0"/>
        <w:spacing w:beforeLines="0" w:afterLines="0" w:line="579" w:lineRule="exact"/>
        <w:ind w:left="0" w:firstLine="641" w:firstLineChars="200"/>
        <w:jc w:val="left"/>
        <w:outlineLvl w:val="0"/>
        <w:rPr>
          <w:rFonts w:ascii="Times New Roman" w:hAnsi="Times New Roman" w:eastAsia="楷体_GB2312" w:cs="Times New Roman"/>
          <w:b/>
          <w:color w:val="000000"/>
          <w:sz w:val="32"/>
          <w:szCs w:val="32"/>
        </w:rPr>
      </w:pPr>
      <w:bookmarkStart w:id="73" w:name="_Toc69378101"/>
      <w:r>
        <w:rPr>
          <w:rFonts w:hint="default" w:ascii="Times New Roman" w:hAnsi="Times New Roman" w:eastAsia="楷体_GB2312" w:cs="Times New Roman"/>
          <w:b/>
          <w:color w:val="000000"/>
          <w:sz w:val="32"/>
          <w:szCs w:val="32"/>
          <w:lang w:eastAsia="zh-CN"/>
        </w:rPr>
        <w:t>（六）</w:t>
      </w:r>
      <w:r>
        <w:rPr>
          <w:rFonts w:ascii="Times New Roman" w:hAnsi="Times New Roman" w:eastAsia="楷体_GB2312" w:cs="Times New Roman"/>
          <w:b/>
          <w:color w:val="000000"/>
          <w:sz w:val="32"/>
          <w:szCs w:val="32"/>
        </w:rPr>
        <w:t>鼓励开展储能示范项目，支持储能核心技术攻关</w:t>
      </w:r>
      <w:bookmarkEnd w:id="73"/>
    </w:p>
    <w:p>
      <w:pPr>
        <w:adjustRightInd w:val="0"/>
        <w:snapToGrid w:val="0"/>
        <w:spacing w:beforeLines="0" w:afterLines="0" w:line="579" w:lineRule="exact"/>
        <w:ind w:firstLine="643" w:firstLineChars="200"/>
        <w:textAlignment w:val="center"/>
        <w:rPr>
          <w:rFonts w:ascii="Times New Roman" w:hAnsi="Times New Roman" w:eastAsia="仿宋_GB2312" w:cs="Times New Roman"/>
          <w:b/>
          <w:color w:val="000000"/>
          <w:kern w:val="0"/>
          <w:sz w:val="32"/>
          <w:szCs w:val="32"/>
        </w:rPr>
      </w:pPr>
      <w:r>
        <w:rPr>
          <w:rFonts w:ascii="Times New Roman" w:hAnsi="Times New Roman" w:eastAsia="仿宋_GB2312" w:cs="Times New Roman"/>
          <w:b/>
          <w:color w:val="000000"/>
          <w:kern w:val="0"/>
          <w:sz w:val="32"/>
          <w:szCs w:val="32"/>
        </w:rPr>
        <w:t>推进“可再生能源+储能”模式。</w:t>
      </w:r>
      <w:r>
        <w:rPr>
          <w:rFonts w:ascii="Times New Roman" w:hAnsi="Times New Roman" w:eastAsia="仿宋_GB2312" w:cs="Times New Roman"/>
          <w:bCs/>
          <w:color w:val="000000"/>
          <w:kern w:val="0"/>
          <w:sz w:val="32"/>
          <w:szCs w:val="32"/>
        </w:rPr>
        <w:t>建设</w:t>
      </w:r>
      <w:r>
        <w:rPr>
          <w:rFonts w:hint="eastAsia" w:ascii="Times New Roman" w:hAnsi="Times New Roman" w:eastAsia="仿宋_GB2312" w:cs="Times New Roman"/>
          <w:bCs/>
          <w:color w:val="000000"/>
          <w:kern w:val="0"/>
          <w:sz w:val="32"/>
          <w:szCs w:val="32"/>
        </w:rPr>
        <w:t>若干</w:t>
      </w:r>
      <w:r>
        <w:rPr>
          <w:rFonts w:ascii="Times New Roman" w:hAnsi="Times New Roman" w:eastAsia="仿宋_GB2312" w:cs="Times New Roman"/>
          <w:bCs/>
          <w:color w:val="000000"/>
          <w:kern w:val="0"/>
          <w:sz w:val="32"/>
          <w:szCs w:val="32"/>
        </w:rPr>
        <w:t>“风光水储一体化”可再生能源示范基地，鼓励开展新技术、新模式示范试点。不断完善储能政策，</w:t>
      </w:r>
      <w:r>
        <w:rPr>
          <w:rFonts w:hint="eastAsia" w:ascii="Times New Roman" w:hAnsi="Times New Roman" w:cs="Times New Roman"/>
          <w:bCs/>
          <w:color w:val="000000"/>
          <w:kern w:val="0"/>
          <w:sz w:val="32"/>
          <w:szCs w:val="32"/>
          <w:lang w:eastAsia="zh-CN"/>
        </w:rPr>
        <w:t>探索</w:t>
      </w:r>
      <w:r>
        <w:rPr>
          <w:rFonts w:ascii="Times New Roman" w:hAnsi="Times New Roman" w:eastAsia="仿宋_GB2312" w:cs="Times New Roman"/>
          <w:bCs/>
          <w:color w:val="000000"/>
          <w:kern w:val="0"/>
          <w:sz w:val="32"/>
          <w:szCs w:val="32"/>
        </w:rPr>
        <w:t>更为合理的储能商业模式，推动储能成本分摊疏导，引导储能为建设能源互联网形态下多元融合高弹性电网提供强有力的支撑。</w:t>
      </w:r>
    </w:p>
    <w:p>
      <w:pPr>
        <w:adjustRightInd w:val="0"/>
        <w:snapToGrid w:val="0"/>
        <w:spacing w:beforeLines="0" w:afterLines="0" w:line="579" w:lineRule="exact"/>
        <w:ind w:firstLine="643" w:firstLineChars="200"/>
        <w:textAlignment w:val="center"/>
        <w:rPr>
          <w:rFonts w:ascii="Times New Roman" w:hAnsi="Times New Roman" w:eastAsia="仿宋_GB2312" w:cs="Times New Roman"/>
          <w:bCs/>
          <w:color w:val="000000"/>
          <w:kern w:val="0"/>
          <w:sz w:val="32"/>
          <w:szCs w:val="32"/>
        </w:rPr>
      </w:pPr>
      <w:r>
        <w:rPr>
          <w:rFonts w:ascii="Times New Roman" w:hAnsi="Times New Roman" w:eastAsia="仿宋_GB2312" w:cs="Times New Roman"/>
          <w:b/>
          <w:color w:val="000000"/>
          <w:kern w:val="0"/>
          <w:sz w:val="32"/>
          <w:szCs w:val="32"/>
        </w:rPr>
        <w:t>发挥源网荷储协调优势。</w:t>
      </w:r>
      <w:r>
        <w:rPr>
          <w:rFonts w:ascii="Times New Roman" w:hAnsi="Times New Roman" w:eastAsia="仿宋_GB2312" w:cs="Times New Roman"/>
          <w:color w:val="000000"/>
          <w:kern w:val="0"/>
          <w:sz w:val="32"/>
          <w:szCs w:val="32"/>
        </w:rPr>
        <w:t>建设“源网荷储一体化”示范试点，</w:t>
      </w:r>
      <w:r>
        <w:rPr>
          <w:rFonts w:ascii="Times New Roman" w:hAnsi="Times New Roman" w:eastAsia="仿宋_GB2312" w:cs="Times New Roman"/>
          <w:bCs/>
          <w:color w:val="000000"/>
          <w:kern w:val="0"/>
          <w:sz w:val="32"/>
          <w:szCs w:val="32"/>
        </w:rPr>
        <w:t>通过采用先进的信息通信技术和物联网技术，将电、气、热等能源网络中生产、传输、存储、消费等环节互联互通，实现多种能源的协同转化与集成调配，充分发挥储能在可再生能源消纳、保障电网安全等方面的作用。</w:t>
      </w:r>
    </w:p>
    <w:p>
      <w:pPr>
        <w:spacing w:beforeLines="0" w:afterLines="0" w:line="579" w:lineRule="exact"/>
        <w:ind w:firstLine="643" w:firstLineChars="200"/>
        <w:textAlignment w:val="center"/>
        <w:rPr>
          <w:rFonts w:ascii="Times New Roman" w:hAnsi="Times New Roman" w:eastAsia="仿宋_GB2312" w:cs="Times New Roman"/>
          <w:bCs/>
          <w:color w:val="000000"/>
          <w:kern w:val="0"/>
          <w:sz w:val="32"/>
          <w:szCs w:val="32"/>
        </w:rPr>
      </w:pPr>
      <w:r>
        <w:rPr>
          <w:rFonts w:ascii="Times New Roman" w:hAnsi="Times New Roman" w:eastAsia="仿宋_GB2312" w:cs="Times New Roman"/>
          <w:b/>
          <w:color w:val="000000"/>
          <w:kern w:val="0"/>
          <w:sz w:val="32"/>
          <w:szCs w:val="32"/>
        </w:rPr>
        <w:t>开展核心技术科技攻关。</w:t>
      </w:r>
      <w:r>
        <w:rPr>
          <w:rFonts w:ascii="Times New Roman" w:hAnsi="Times New Roman" w:eastAsia="仿宋_GB2312" w:cs="Times New Roman"/>
          <w:bCs/>
          <w:color w:val="000000"/>
          <w:kern w:val="0"/>
          <w:sz w:val="32"/>
          <w:szCs w:val="32"/>
        </w:rPr>
        <w:t>针对电化学储能、氢储能等关键技术实施重点突破，组织电力、储能等相关企业联合高校、院所通过产学研结合，加速科技创新成果转化应用，形成重点引领、优势互补的产业发展态势。</w:t>
      </w:r>
      <w:bookmarkEnd w:id="67"/>
      <w:bookmarkStart w:id="74" w:name="_Toc61460270"/>
      <w:bookmarkEnd w:id="74"/>
      <w:bookmarkStart w:id="75" w:name="_Toc61460282"/>
      <w:bookmarkEnd w:id="75"/>
      <w:bookmarkStart w:id="76" w:name="_Toc61460283"/>
      <w:bookmarkEnd w:id="76"/>
      <w:bookmarkStart w:id="77" w:name="_Toc56946944"/>
      <w:bookmarkEnd w:id="77"/>
      <w:bookmarkStart w:id="78" w:name="_Toc56947008"/>
      <w:bookmarkEnd w:id="78"/>
      <w:bookmarkStart w:id="79" w:name="_Toc56958980"/>
      <w:bookmarkEnd w:id="79"/>
      <w:bookmarkStart w:id="80" w:name="_Toc61460284"/>
      <w:bookmarkEnd w:id="80"/>
      <w:bookmarkStart w:id="81" w:name="_Toc56947010"/>
      <w:bookmarkEnd w:id="81"/>
      <w:bookmarkStart w:id="82" w:name="_Toc56958982"/>
      <w:bookmarkEnd w:id="82"/>
      <w:bookmarkStart w:id="83" w:name="_Toc61460285"/>
      <w:bookmarkEnd w:id="83"/>
      <w:bookmarkStart w:id="84" w:name="_Toc61460286"/>
      <w:bookmarkEnd w:id="84"/>
      <w:bookmarkStart w:id="85" w:name="_Toc56947012"/>
      <w:bookmarkEnd w:id="85"/>
      <w:bookmarkStart w:id="86" w:name="_Toc56958984"/>
      <w:bookmarkEnd w:id="86"/>
      <w:bookmarkStart w:id="87" w:name="_Toc56947013"/>
      <w:bookmarkEnd w:id="87"/>
      <w:bookmarkStart w:id="88" w:name="_Toc56958985"/>
      <w:bookmarkEnd w:id="88"/>
      <w:bookmarkStart w:id="89" w:name="_Toc61460287"/>
      <w:bookmarkEnd w:id="89"/>
      <w:bookmarkStart w:id="90" w:name="_Toc61460288"/>
      <w:bookmarkEnd w:id="90"/>
      <w:bookmarkStart w:id="91" w:name="_Toc61460289"/>
      <w:bookmarkEnd w:id="91"/>
      <w:bookmarkStart w:id="92" w:name="_Toc61460290"/>
      <w:bookmarkEnd w:id="92"/>
      <w:bookmarkStart w:id="93" w:name="_Toc61460291"/>
      <w:bookmarkEnd w:id="93"/>
      <w:bookmarkStart w:id="94" w:name="_Toc61460292"/>
      <w:bookmarkEnd w:id="94"/>
      <w:bookmarkStart w:id="95" w:name="_Toc56958989"/>
      <w:bookmarkEnd w:id="95"/>
      <w:bookmarkStart w:id="96" w:name="_Toc56947015"/>
      <w:bookmarkEnd w:id="96"/>
      <w:bookmarkStart w:id="97" w:name="_Toc56958990"/>
      <w:bookmarkEnd w:id="97"/>
      <w:bookmarkStart w:id="98" w:name="_Toc56958991"/>
      <w:bookmarkEnd w:id="98"/>
      <w:bookmarkStart w:id="99" w:name="_Toc56958992"/>
      <w:bookmarkEnd w:id="99"/>
      <w:bookmarkStart w:id="100" w:name="_Toc56945775"/>
      <w:bookmarkEnd w:id="100"/>
      <w:bookmarkStart w:id="101" w:name="_Toc56946946"/>
      <w:bookmarkEnd w:id="101"/>
      <w:bookmarkStart w:id="102" w:name="_Toc56947017"/>
      <w:bookmarkEnd w:id="102"/>
      <w:bookmarkStart w:id="103" w:name="_Toc56958993"/>
      <w:bookmarkEnd w:id="103"/>
      <w:bookmarkStart w:id="104" w:name="_Toc69378102"/>
    </w:p>
    <w:p>
      <w:pPr>
        <w:spacing w:beforeLines="0" w:afterLines="0" w:line="579" w:lineRule="exact"/>
        <w:ind w:firstLine="640" w:firstLineChars="200"/>
        <w:textAlignment w:val="center"/>
        <w:rPr>
          <w:rFonts w:ascii="Times New Roman" w:hAnsi="Times New Roman" w:eastAsia="黑体" w:cs="Times New Roman"/>
          <w:color w:val="000000"/>
          <w:sz w:val="32"/>
          <w:szCs w:val="32"/>
        </w:rPr>
      </w:pPr>
      <w:r>
        <w:rPr>
          <w:rFonts w:hint="eastAsia" w:ascii="Times New Roman" w:hAnsi="Times New Roman" w:eastAsia="黑体" w:cs="Times New Roman"/>
          <w:color w:val="000000"/>
          <w:sz w:val="32"/>
          <w:szCs w:val="32"/>
          <w:lang w:eastAsia="zh-CN"/>
        </w:rPr>
        <w:t>四、</w:t>
      </w:r>
      <w:r>
        <w:rPr>
          <w:rFonts w:ascii="Times New Roman" w:hAnsi="Times New Roman" w:eastAsia="黑体" w:cs="Times New Roman"/>
          <w:color w:val="000000"/>
          <w:sz w:val="32"/>
          <w:szCs w:val="32"/>
        </w:rPr>
        <w:t>保障措施</w:t>
      </w:r>
      <w:bookmarkEnd w:id="104"/>
    </w:p>
    <w:p>
      <w:pPr>
        <w:pStyle w:val="9"/>
        <w:numPr>
          <w:ilvl w:val="0"/>
          <w:numId w:val="0"/>
        </w:numPr>
        <w:adjustRightInd w:val="0"/>
        <w:snapToGrid w:val="0"/>
        <w:spacing w:beforeLines="0" w:afterLines="0" w:line="579" w:lineRule="exact"/>
        <w:ind w:left="0" w:firstLine="641" w:firstLineChars="200"/>
        <w:jc w:val="left"/>
        <w:outlineLvl w:val="0"/>
        <w:rPr>
          <w:rFonts w:ascii="Times New Roman" w:hAnsi="Times New Roman" w:eastAsia="楷体_GB2312" w:cs="Times New Roman"/>
          <w:b/>
          <w:color w:val="000000"/>
          <w:sz w:val="32"/>
          <w:szCs w:val="32"/>
        </w:rPr>
      </w:pPr>
      <w:bookmarkStart w:id="105" w:name="_Toc69378103"/>
      <w:bookmarkStart w:id="106" w:name="_Toc20422804"/>
      <w:bookmarkStart w:id="107" w:name="_Toc20423002"/>
      <w:r>
        <w:rPr>
          <w:rFonts w:hint="default" w:ascii="Times New Roman" w:hAnsi="Times New Roman" w:eastAsia="楷体_GB2312" w:cs="Times New Roman"/>
          <w:b/>
          <w:color w:val="000000"/>
          <w:sz w:val="32"/>
          <w:szCs w:val="32"/>
          <w:lang w:eastAsia="zh-CN"/>
        </w:rPr>
        <w:t>（一）</w:t>
      </w:r>
      <w:r>
        <w:rPr>
          <w:rFonts w:ascii="Times New Roman" w:hAnsi="Times New Roman" w:eastAsia="楷体_GB2312" w:cs="Times New Roman"/>
          <w:b/>
          <w:color w:val="000000"/>
          <w:sz w:val="32"/>
          <w:szCs w:val="32"/>
        </w:rPr>
        <w:t>加强统筹协调</w:t>
      </w:r>
      <w:bookmarkEnd w:id="105"/>
    </w:p>
    <w:p>
      <w:pPr>
        <w:snapToGrid w:val="0"/>
        <w:spacing w:beforeLines="0" w:afterLines="0" w:line="579"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相关部门要加强对可再生能源建设的总体指导和统筹协调，统一思想认识，形成联动机制，合理确定可再生能源开发建设时序，有效衔接可再生能源开发、输送、利用各环节。强化要素资源供应与保障，及时解决项目建设遇到的问题，确保项目建设一批、核准一批、前期准备一批。强化项目管理，不断完善工作机制和评价考核体系，着力提高项目质量和成效，重视生态环境保护，进一步加强与浙江省国土空间总体规划的协调对接，促进可再生能源开发利用的高质量发展。</w:t>
      </w:r>
    </w:p>
    <w:p>
      <w:pPr>
        <w:pStyle w:val="9"/>
        <w:numPr>
          <w:ilvl w:val="0"/>
          <w:numId w:val="0"/>
        </w:numPr>
        <w:adjustRightInd w:val="0"/>
        <w:snapToGrid w:val="0"/>
        <w:spacing w:beforeLines="0" w:afterLines="0" w:line="579" w:lineRule="exact"/>
        <w:ind w:left="0" w:firstLine="641" w:firstLineChars="200"/>
        <w:jc w:val="left"/>
        <w:outlineLvl w:val="0"/>
        <w:rPr>
          <w:rFonts w:ascii="Times New Roman" w:hAnsi="Times New Roman" w:eastAsia="楷体_GB2312" w:cs="Times New Roman"/>
          <w:b/>
          <w:color w:val="000000"/>
          <w:sz w:val="32"/>
          <w:szCs w:val="32"/>
        </w:rPr>
      </w:pPr>
      <w:bookmarkStart w:id="108" w:name="_Toc69378104"/>
      <w:r>
        <w:rPr>
          <w:rFonts w:hint="default" w:ascii="Times New Roman" w:hAnsi="Times New Roman" w:eastAsia="楷体_GB2312" w:cs="Times New Roman"/>
          <w:b/>
          <w:color w:val="000000"/>
          <w:sz w:val="32"/>
          <w:szCs w:val="32"/>
          <w:lang w:eastAsia="zh-CN"/>
        </w:rPr>
        <w:t>（二）</w:t>
      </w:r>
      <w:r>
        <w:rPr>
          <w:rFonts w:ascii="Times New Roman" w:hAnsi="Times New Roman" w:eastAsia="楷体_GB2312" w:cs="Times New Roman"/>
          <w:b/>
          <w:color w:val="000000"/>
          <w:sz w:val="32"/>
          <w:szCs w:val="32"/>
        </w:rPr>
        <w:t>强化政策落实</w:t>
      </w:r>
      <w:bookmarkEnd w:id="108"/>
    </w:p>
    <w:p>
      <w:pPr>
        <w:snapToGrid w:val="0"/>
        <w:spacing w:beforeLines="0" w:afterLines="0" w:line="579"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根据国家发布的可再生能源电力消纳保障机制以及对我省设定的可再生能源电力消纳责任权重，加紧研究和制定可再生能源消纳、能源“双控”等对地方政府、相关部门的考核评价体系，充分调动地方政府、相关部门和企业主体的积极性。出台可再生能源与能源“双控”考核、用能空间数据联动政策，明确对各地能源“双控”考核和用能空间核算中年度新增可再生能源可扣减能耗。</w:t>
      </w:r>
      <w:r>
        <w:rPr>
          <w:rFonts w:hint="eastAsia" w:ascii="Times New Roman" w:hAnsi="Times New Roman" w:eastAsia="仿宋_GB2312" w:cs="Times New Roman"/>
          <w:color w:val="000000"/>
          <w:sz w:val="32"/>
          <w:szCs w:val="32"/>
        </w:rPr>
        <w:t>做好规划年度监测分析和规划中期总结评估</w:t>
      </w:r>
      <w:r>
        <w:rPr>
          <w:rFonts w:ascii="Times New Roman" w:hAnsi="Times New Roman" w:eastAsia="仿宋_GB2312" w:cs="Times New Roman"/>
          <w:color w:val="000000"/>
          <w:sz w:val="32"/>
          <w:szCs w:val="32"/>
        </w:rPr>
        <w:t>。分解和落实全省可再生能源发展目标和任务，督促各地区加快可再生能源开发利用，加强对各地区规划执行情况的考核。为进一步提升我省对可再生能源的消纳能力、缓解电网调峰压力，积极探索制定储能配额制，优先考虑在源荷逆向分布、本地消纳空间不足等就地消纳矛盾突出区域配套储能。</w:t>
      </w:r>
    </w:p>
    <w:p>
      <w:pPr>
        <w:pStyle w:val="9"/>
        <w:numPr>
          <w:ilvl w:val="0"/>
          <w:numId w:val="0"/>
        </w:numPr>
        <w:adjustRightInd w:val="0"/>
        <w:snapToGrid w:val="0"/>
        <w:spacing w:beforeLines="0" w:afterLines="0" w:line="579" w:lineRule="exact"/>
        <w:ind w:left="0" w:firstLine="641" w:firstLineChars="200"/>
        <w:jc w:val="left"/>
        <w:outlineLvl w:val="0"/>
        <w:rPr>
          <w:rFonts w:ascii="Times New Roman" w:hAnsi="Times New Roman" w:eastAsia="楷体_GB2312" w:cs="Times New Roman"/>
          <w:b/>
          <w:color w:val="000000"/>
          <w:sz w:val="32"/>
          <w:szCs w:val="32"/>
        </w:rPr>
      </w:pPr>
      <w:bookmarkStart w:id="109" w:name="_Toc69378105"/>
      <w:r>
        <w:rPr>
          <w:rFonts w:hint="default" w:ascii="Times New Roman" w:hAnsi="Times New Roman" w:eastAsia="楷体_GB2312" w:cs="Times New Roman"/>
          <w:b/>
          <w:color w:val="000000"/>
          <w:sz w:val="32"/>
          <w:szCs w:val="32"/>
          <w:lang w:eastAsia="zh-CN"/>
        </w:rPr>
        <w:t>（三）</w:t>
      </w:r>
      <w:r>
        <w:rPr>
          <w:rFonts w:ascii="Times New Roman" w:hAnsi="Times New Roman" w:eastAsia="楷体_GB2312" w:cs="Times New Roman"/>
          <w:b/>
          <w:color w:val="000000"/>
          <w:sz w:val="32"/>
          <w:szCs w:val="32"/>
        </w:rPr>
        <w:t>强化要素保障</w:t>
      </w:r>
      <w:bookmarkEnd w:id="109"/>
    </w:p>
    <w:p>
      <w:pPr>
        <w:snapToGrid w:val="0"/>
        <w:spacing w:beforeLines="0" w:afterLines="0" w:line="579"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强化土地要素保障，对相关部门确定的重大可再生能源建设项目，在建设用地指标方面给予重点支持，指导地方按照有关规定合理利用废弃土地、荒山荒坡、滩涂等资源建设可再生能源项目。强化资金要素保障，拓宽投融资渠道，创新适应可再生能源产业的融资方式和金融服务模式，建立和完善可再生能源产业链企业信用担保体系，提高中小企业融资能力，扩大融资规模，采取多种手段保障资金需求。</w:t>
      </w:r>
    </w:p>
    <w:p>
      <w:pPr>
        <w:pStyle w:val="9"/>
        <w:numPr>
          <w:ilvl w:val="0"/>
          <w:numId w:val="0"/>
        </w:numPr>
        <w:adjustRightInd w:val="0"/>
        <w:snapToGrid w:val="0"/>
        <w:spacing w:beforeLines="0" w:afterLines="0" w:line="579" w:lineRule="exact"/>
        <w:ind w:left="0" w:firstLine="641" w:firstLineChars="200"/>
        <w:jc w:val="left"/>
        <w:outlineLvl w:val="0"/>
        <w:rPr>
          <w:rFonts w:ascii="Times New Roman" w:hAnsi="Times New Roman" w:eastAsia="楷体_GB2312" w:cs="Times New Roman"/>
          <w:b/>
          <w:color w:val="000000"/>
          <w:sz w:val="32"/>
          <w:szCs w:val="32"/>
        </w:rPr>
      </w:pPr>
      <w:bookmarkStart w:id="110" w:name="_Toc69378106"/>
      <w:r>
        <w:rPr>
          <w:rFonts w:hint="default" w:ascii="Times New Roman" w:hAnsi="Times New Roman" w:eastAsia="楷体_GB2312" w:cs="Times New Roman"/>
          <w:b/>
          <w:color w:val="000000"/>
          <w:sz w:val="32"/>
          <w:szCs w:val="32"/>
          <w:lang w:eastAsia="zh-CN"/>
        </w:rPr>
        <w:t>（四）</w:t>
      </w:r>
      <w:r>
        <w:rPr>
          <w:rFonts w:ascii="Times New Roman" w:hAnsi="Times New Roman" w:eastAsia="楷体_GB2312" w:cs="Times New Roman"/>
          <w:b/>
          <w:color w:val="000000"/>
          <w:sz w:val="32"/>
          <w:szCs w:val="32"/>
        </w:rPr>
        <w:t>完善市场环境</w:t>
      </w:r>
      <w:bookmarkEnd w:id="110"/>
    </w:p>
    <w:p>
      <w:pPr>
        <w:spacing w:beforeLines="0" w:afterLines="0" w:line="579"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加强落实可再生能源税收、土地、贷款等方面的优惠政策，营造良好的投资环境，进一步引导社会投资转向可再生能源领域，充分发挥公共部门投资可再生能源的积极性，</w:t>
      </w:r>
      <w:r>
        <w:rPr>
          <w:rFonts w:hint="eastAsia" w:ascii="Times New Roman" w:hAnsi="Times New Roman" w:cs="Times New Roman"/>
          <w:color w:val="000000"/>
          <w:sz w:val="32"/>
          <w:szCs w:val="32"/>
          <w:lang w:eastAsia="zh-CN"/>
        </w:rPr>
        <w:t>营造</w:t>
      </w:r>
      <w:r>
        <w:rPr>
          <w:rFonts w:ascii="Times New Roman" w:hAnsi="Times New Roman" w:eastAsia="仿宋_GB2312" w:cs="Times New Roman"/>
          <w:color w:val="000000"/>
          <w:sz w:val="32"/>
          <w:szCs w:val="32"/>
        </w:rPr>
        <w:t>良好的投资环境吸引国际投资主体。发挥市场配置资源的作用，通过竞争配置方式组织建设项目，以此引领技术进步和产业升级，促进成本下降，减少补贴需求，适应国家可再生能源补贴退坡的形势，同时加强可再生能开发利用市场的规范管理，着力营造有序竞争的市场环境。逐步建立完善的电力市场环境，积极衔接、有序推广国家可再生能源绿色电力证书交易，通过市场化方式部分解决可再生能源补贴问题。</w:t>
      </w:r>
      <w:bookmarkEnd w:id="106"/>
      <w:bookmarkEnd w:id="107"/>
      <w:bookmarkStart w:id="111" w:name="_Toc56959001"/>
      <w:bookmarkEnd w:id="111"/>
      <w:bookmarkStart w:id="112" w:name="_Toc56943176"/>
      <w:bookmarkEnd w:id="112"/>
      <w:bookmarkStart w:id="113" w:name="_Toc56944442"/>
      <w:bookmarkEnd w:id="113"/>
      <w:bookmarkStart w:id="114" w:name="_Toc56945783"/>
      <w:bookmarkEnd w:id="114"/>
      <w:bookmarkStart w:id="115" w:name="_Toc56946954"/>
      <w:bookmarkEnd w:id="115"/>
      <w:bookmarkStart w:id="116" w:name="_Toc56947025"/>
      <w:bookmarkEnd w:id="116"/>
      <w:bookmarkStart w:id="117" w:name="_Toc56959002"/>
      <w:bookmarkEnd w:id="117"/>
      <w:bookmarkStart w:id="118" w:name="_Toc56943177"/>
      <w:bookmarkEnd w:id="118"/>
      <w:bookmarkStart w:id="119" w:name="_Toc56944443"/>
      <w:bookmarkEnd w:id="119"/>
      <w:bookmarkStart w:id="120" w:name="_Toc56945784"/>
      <w:bookmarkEnd w:id="120"/>
      <w:bookmarkStart w:id="121" w:name="_Toc56946955"/>
      <w:bookmarkEnd w:id="121"/>
      <w:bookmarkStart w:id="122" w:name="_Toc56947026"/>
      <w:bookmarkEnd w:id="122"/>
      <w:bookmarkStart w:id="123" w:name="_Toc56959003"/>
      <w:bookmarkEnd w:id="123"/>
      <w:bookmarkStart w:id="124" w:name="_Toc56943178"/>
      <w:bookmarkEnd w:id="124"/>
      <w:bookmarkStart w:id="125" w:name="_Toc56944444"/>
      <w:bookmarkEnd w:id="125"/>
      <w:bookmarkStart w:id="126" w:name="_Toc56945785"/>
      <w:bookmarkEnd w:id="126"/>
      <w:bookmarkStart w:id="127" w:name="_Toc56946956"/>
      <w:bookmarkEnd w:id="127"/>
      <w:bookmarkStart w:id="128" w:name="_Toc56947027"/>
      <w:bookmarkEnd w:id="128"/>
      <w:bookmarkStart w:id="129" w:name="_Toc56959004"/>
      <w:bookmarkEnd w:id="129"/>
      <w:bookmarkStart w:id="130" w:name="_Toc56943179"/>
      <w:bookmarkEnd w:id="130"/>
      <w:bookmarkStart w:id="131" w:name="_Toc56944445"/>
      <w:bookmarkEnd w:id="131"/>
      <w:bookmarkStart w:id="132" w:name="_Toc56945786"/>
      <w:bookmarkEnd w:id="132"/>
      <w:bookmarkStart w:id="133" w:name="_Toc56946957"/>
      <w:bookmarkEnd w:id="133"/>
      <w:bookmarkStart w:id="134" w:name="_Toc56947028"/>
      <w:bookmarkEnd w:id="134"/>
      <w:bookmarkStart w:id="135" w:name="_Toc56959005"/>
      <w:bookmarkEnd w:id="135"/>
      <w:bookmarkStart w:id="136" w:name="_Toc56943180"/>
      <w:bookmarkEnd w:id="136"/>
      <w:bookmarkStart w:id="137" w:name="_Toc56944446"/>
      <w:bookmarkEnd w:id="137"/>
      <w:bookmarkStart w:id="138" w:name="_Toc56945787"/>
      <w:bookmarkEnd w:id="138"/>
      <w:bookmarkStart w:id="139" w:name="_Toc56946958"/>
      <w:bookmarkEnd w:id="139"/>
      <w:bookmarkStart w:id="140" w:name="_Toc56947029"/>
      <w:bookmarkEnd w:id="140"/>
      <w:bookmarkStart w:id="141" w:name="_Toc56959006"/>
      <w:bookmarkEnd w:id="141"/>
      <w:bookmarkStart w:id="142" w:name="_Toc56943181"/>
      <w:bookmarkEnd w:id="142"/>
      <w:bookmarkStart w:id="143" w:name="_Toc56944447"/>
      <w:bookmarkEnd w:id="143"/>
      <w:bookmarkStart w:id="144" w:name="_Toc56945788"/>
      <w:bookmarkEnd w:id="144"/>
      <w:bookmarkStart w:id="145" w:name="_Toc56946959"/>
      <w:bookmarkEnd w:id="145"/>
      <w:bookmarkStart w:id="146" w:name="_Toc56947030"/>
      <w:bookmarkEnd w:id="146"/>
      <w:bookmarkStart w:id="147" w:name="_Toc56959007"/>
      <w:bookmarkEnd w:id="147"/>
      <w:bookmarkStart w:id="148" w:name="_Toc56943182"/>
      <w:bookmarkEnd w:id="148"/>
      <w:bookmarkStart w:id="149" w:name="_Toc56944448"/>
      <w:bookmarkEnd w:id="149"/>
      <w:bookmarkStart w:id="150" w:name="_Toc56945789"/>
      <w:bookmarkEnd w:id="150"/>
      <w:bookmarkStart w:id="151" w:name="_Toc56946960"/>
      <w:bookmarkEnd w:id="151"/>
      <w:bookmarkStart w:id="152" w:name="_Toc56947031"/>
      <w:bookmarkEnd w:id="152"/>
      <w:bookmarkStart w:id="153" w:name="_Toc56959008"/>
      <w:bookmarkEnd w:id="153"/>
      <w:bookmarkStart w:id="154" w:name="_Toc56943183"/>
      <w:bookmarkEnd w:id="154"/>
      <w:bookmarkStart w:id="155" w:name="_Toc56944449"/>
      <w:bookmarkEnd w:id="155"/>
      <w:bookmarkStart w:id="156" w:name="_Toc56945790"/>
      <w:bookmarkEnd w:id="156"/>
      <w:bookmarkStart w:id="157" w:name="_Toc56946961"/>
      <w:bookmarkEnd w:id="157"/>
      <w:bookmarkStart w:id="158" w:name="_Toc56947032"/>
      <w:bookmarkEnd w:id="158"/>
      <w:bookmarkStart w:id="159" w:name="_Toc56959009"/>
      <w:bookmarkEnd w:id="159"/>
      <w:bookmarkStart w:id="160" w:name="_Toc56958999"/>
      <w:bookmarkEnd w:id="160"/>
      <w:bookmarkStart w:id="161" w:name="_Toc56943174"/>
      <w:bookmarkEnd w:id="161"/>
      <w:bookmarkStart w:id="162" w:name="_Toc56944440"/>
      <w:bookmarkEnd w:id="162"/>
      <w:bookmarkStart w:id="163" w:name="_Toc56945781"/>
      <w:bookmarkEnd w:id="163"/>
      <w:bookmarkStart w:id="164" w:name="_Toc56946952"/>
      <w:bookmarkEnd w:id="164"/>
      <w:bookmarkStart w:id="165" w:name="_Toc56947023"/>
      <w:bookmarkEnd w:id="165"/>
      <w:bookmarkStart w:id="166" w:name="_Toc56959000"/>
      <w:bookmarkEnd w:id="166"/>
      <w:bookmarkStart w:id="167" w:name="_Toc56943175"/>
      <w:bookmarkEnd w:id="167"/>
      <w:bookmarkStart w:id="168" w:name="_Toc56944441"/>
      <w:bookmarkEnd w:id="168"/>
      <w:bookmarkStart w:id="169" w:name="_Toc56945782"/>
      <w:bookmarkEnd w:id="169"/>
      <w:bookmarkStart w:id="170" w:name="_Toc56946953"/>
      <w:bookmarkEnd w:id="170"/>
      <w:bookmarkStart w:id="171" w:name="_Toc56947024"/>
      <w:bookmarkEnd w:id="171"/>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altName w:val="汉仪书宋二KW"/>
    <w:panose1 w:val="02000000000000000000"/>
    <w:charset w:val="86"/>
    <w:family w:val="auto"/>
    <w:pitch w:val="default"/>
    <w:sig w:usb0="00000001" w:usb1="08000000" w:usb2="00000000" w:usb3="00000000" w:csb0="00040000"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仿宋_GB2312">
    <w:panose1 w:val="02010609030101010101"/>
    <w:charset w:val="86"/>
    <w:family w:val="modern"/>
    <w:pitch w:val="default"/>
    <w:sig w:usb0="00000001" w:usb1="080E0000" w:usb2="00000000" w:usb3="00000000" w:csb0="00040000" w:csb1="00000000"/>
  </w:font>
  <w:font w:name="仿宋">
    <w:altName w:val="汉仪仿宋KW"/>
    <w:panose1 w:val="02010609060101010101"/>
    <w:charset w:val="00"/>
    <w:family w:val="modern"/>
    <w:pitch w:val="default"/>
    <w:sig w:usb0="00000000" w:usb1="00000000" w:usb2="00000016" w:usb3="00000000" w:csb0="00040001" w:csb1="00000000"/>
  </w:font>
  <w:font w:name="黑体">
    <w:altName w:val="汉仪中黑KW"/>
    <w:panose1 w:val="02010609060101010101"/>
    <w:charset w:val="00"/>
    <w:family w:val="auto"/>
    <w:pitch w:val="default"/>
    <w:sig w:usb0="00000000" w:usb1="00000000"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altName w:val="汉仪楷体KW"/>
    <w:panose1 w:val="02010609060101010101"/>
    <w:charset w:val="00"/>
    <w:family w:val="modern"/>
    <w:pitch w:val="default"/>
    <w:sig w:usb0="00000000" w:usb1="00000000" w:usb2="00000016" w:usb3="00000000" w:csb0="00040001" w:csb1="00000000"/>
  </w:font>
  <w:font w:name="楷体_GB2312">
    <w:altName w:val="汉仪楷体KW"/>
    <w:panose1 w:val="02010609030101010101"/>
    <w:charset w:val="00"/>
    <w:family w:val="modern"/>
    <w:pitch w:val="default"/>
    <w:sig w:usb0="00000000" w:usb1="00000000" w:usb2="00000000" w:usb3="00000000" w:csb0="00040000" w:csb1="00000000"/>
  </w:font>
  <w:font w:name="等线">
    <w:altName w:val="汉仪中等线KW"/>
    <w:panose1 w:val="02010600030101010101"/>
    <w:charset w:val="00"/>
    <w:family w:val="auto"/>
    <w:pitch w:val="default"/>
    <w:sig w:usb0="00000000" w:usb1="00000000" w:usb2="00000016" w:usb3="00000000" w:csb0="0004000F" w:csb1="00000000"/>
  </w:font>
  <w:font w:name="汉仪中黑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楷体KW">
    <w:panose1 w:val="00020600040101010101"/>
    <w:charset w:val="86"/>
    <w:family w:val="auto"/>
    <w:pitch w:val="default"/>
    <w:sig w:usb0="A00002BF" w:usb1="18EF7CFA" w:usb2="00000016" w:usb3="00000000" w:csb0="00040000" w:csb1="00000000"/>
  </w:font>
  <w:font w:name="汉仪仿宋KW">
    <w:panose1 w:val="00020600040101010101"/>
    <w:charset w:val="86"/>
    <w:family w:val="auto"/>
    <w:pitch w:val="default"/>
    <w:sig w:usb0="A00002BF" w:usb1="18EF7CFA" w:usb2="00000016" w:usb3="00000000" w:csb0="00040000" w:csb1="00000000"/>
  </w:font>
  <w:font w:name="汉仪中等线KW">
    <w:panose1 w:val="01010104010101010101"/>
    <w:charset w:val="86"/>
    <w:family w:val="auto"/>
    <w:pitch w:val="default"/>
    <w:sig w:usb0="800002BF" w:usb1="004F7CFA"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2F7230F"/>
    <w:rsid w:val="E2F723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仿宋_GB2312"/>
      <w:kern w:val="2"/>
      <w:sz w:val="32"/>
      <w:szCs w:val="22"/>
      <w:lang w:val="en-US" w:eastAsia="zh-CN" w:bidi="ar-SA"/>
    </w:rPr>
  </w:style>
  <w:style w:type="paragraph" w:styleId="3">
    <w:name w:val="heading 1"/>
    <w:basedOn w:val="1"/>
    <w:next w:val="1"/>
    <w:qFormat/>
    <w:uiPriority w:val="0"/>
    <w:pPr>
      <w:keepNext/>
      <w:keepLines/>
      <w:spacing w:before="340" w:after="330" w:line="578" w:lineRule="auto"/>
      <w:outlineLvl w:val="0"/>
    </w:pPr>
    <w:rPr>
      <w:rFonts w:ascii="Calibri" w:hAnsi="Calibri" w:eastAsia="宋体" w:cs="Times New Roman"/>
      <w:b/>
      <w:bCs/>
      <w:kern w:val="44"/>
      <w:sz w:val="44"/>
      <w:szCs w:val="44"/>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Body Text First Indent 2"/>
    <w:uiPriority w:val="0"/>
    <w:pPr>
      <w:widowControl w:val="0"/>
      <w:spacing w:after="120" w:line="620" w:lineRule="exact"/>
      <w:ind w:left="420" w:leftChars="200" w:firstLine="420" w:firstLineChars="200"/>
      <w:jc w:val="both"/>
    </w:pPr>
    <w:rPr>
      <w:rFonts w:ascii="Calibri" w:hAnsi="Calibri" w:eastAsia="仿宋_GB2312" w:cs="Times New Roman"/>
      <w:kern w:val="2"/>
      <w:sz w:val="32"/>
      <w:szCs w:val="22"/>
      <w:lang w:val="en-US" w:eastAsia="zh-CN" w:bidi="ar-SA"/>
    </w:rPr>
  </w:style>
  <w:style w:type="table" w:styleId="6">
    <w:name w:val="Table Grid"/>
    <w:basedOn w:val="5"/>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7">
    <w:name w:val="封面工程名称"/>
    <w:basedOn w:val="1"/>
    <w:next w:val="1"/>
    <w:qFormat/>
    <w:uiPriority w:val="0"/>
    <w:pPr>
      <w:spacing w:line="360" w:lineRule="auto"/>
      <w:jc w:val="center"/>
    </w:pPr>
    <w:rPr>
      <w:rFonts w:ascii="Times New Roman" w:hAnsi="Times New Roman" w:eastAsia="黑体" w:cs="Times New Roman"/>
      <w:sz w:val="50"/>
      <w:szCs w:val="24"/>
    </w:rPr>
  </w:style>
  <w:style w:type="paragraph" w:customStyle="1" w:styleId="8">
    <w:name w:val="_Style 5"/>
    <w:basedOn w:val="1"/>
    <w:qFormat/>
    <w:uiPriority w:val="34"/>
    <w:pPr>
      <w:ind w:firstLine="420" w:firstLineChars="200"/>
    </w:pPr>
    <w:rPr>
      <w:rFonts w:ascii="Calibri" w:hAnsi="Calibri" w:eastAsia="宋体" w:cs="Times New Roman"/>
      <w:sz w:val="21"/>
      <w:szCs w:val="24"/>
    </w:rPr>
  </w:style>
  <w:style w:type="paragraph" w:customStyle="1" w:styleId="9">
    <w:name w:val="列出段落1"/>
    <w:basedOn w:val="1"/>
    <w:qFormat/>
    <w:uiPriority w:val="34"/>
    <w:pPr>
      <w:ind w:firstLine="420" w:firstLineChars="200"/>
    </w:pPr>
    <w:rPr>
      <w:rFonts w:ascii="Calibri" w:hAnsi="Calibri" w:eastAsia="宋体" w:cs="Times New Roman"/>
      <w:sz w:val="21"/>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Office_1.2.0.1574_F1E327BC-269C-435d-A152-05C5408002CA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2021-06-23T09:27:00Z</dcterms:created>
  <dc:creator>chanvictor</dc:creator>
  <cp:lastModifiedBy>chanvictor</cp:lastModifiedBy>
  <dcterms:modified xsi:type="dcterms:W3CDTF">2021-06-23T09:27:25Z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2052-1.2.0.1574</vt:lpwstr>
  </property>
</Properties>
</file>