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3"/>
        <w:framePr w:wrap="around"/>
        <w:rPr>
          <w:rFonts w:ascii="Times New Roman"/>
        </w:rPr>
      </w:pPr>
      <w:r>
        <w:rPr>
          <w:rFonts w:ascii="Times New Roman"/>
        </w:rPr>
        <w:t>ICS</w:t>
      </w:r>
      <w:r>
        <w:rPr>
          <w:rFonts w:ascii="Times New Roman" w:eastAsia="MS Mincho"/>
        </w:rPr>
        <w:t> </w:t>
      </w:r>
      <w:r>
        <w:rPr>
          <w:rFonts w:ascii="Times New Roman"/>
        </w:rPr>
        <w:fldChar w:fldCharType="begin">
          <w:ffData>
            <w:name w:val="ICS"/>
            <w:enabled/>
            <w:calcOnExit w:val="0"/>
            <w:helpText w:type="text" w:val="请输入正确的ICS号："/>
            <w:textInput>
              <w:default w:val="43.120"/>
            </w:textInput>
          </w:ffData>
        </w:fldChar>
      </w:r>
      <w:r>
        <w:rPr>
          <w:rFonts w:ascii="Times New Roman"/>
        </w:rPr>
        <w:instrText xml:space="preserve"> </w:instrText>
      </w:r>
      <w:bookmarkStart w:id="0" w:name="ICS"/>
      <w:r>
        <w:rPr>
          <w:rFonts w:ascii="Times New Roman"/>
        </w:rPr>
        <w:instrText xml:space="preserve">FORMTEXT </w:instrText>
      </w:r>
      <w:r>
        <w:rPr>
          <w:rFonts w:ascii="Times New Roman"/>
        </w:rPr>
        <w:fldChar w:fldCharType="separate"/>
      </w:r>
      <w:r>
        <w:rPr>
          <w:rFonts w:ascii="Times New Roman"/>
        </w:rPr>
        <w:t>43.120</w:t>
      </w:r>
      <w:r>
        <w:rPr>
          <w:rFonts w:ascii="Times New Roman"/>
        </w:rPr>
        <w:fldChar w:fldCharType="end"/>
      </w:r>
      <w:bookmarkEnd w:id="0"/>
    </w:p>
    <w:p>
      <w:pPr>
        <w:pStyle w:val="123"/>
        <w:framePr w:wrap="around"/>
        <w:rPr>
          <w:rFonts w:ascii="Times New Roman"/>
        </w:rPr>
      </w:pPr>
      <w:r>
        <w:rPr>
          <w:rFonts w:ascii="Times New Roman"/>
        </w:rPr>
        <w:fldChar w:fldCharType="begin">
          <w:ffData>
            <w:name w:val="WXFLH"/>
            <w:enabled/>
            <w:calcOnExit w:val="0"/>
            <w:helpText w:type="text" w:val="请输入中国标准文献分类号："/>
            <w:textInput>
              <w:default w:val="T 47"/>
            </w:textInput>
          </w:ffData>
        </w:fldChar>
      </w:r>
      <w:bookmarkStart w:id="1" w:name="WXFLH"/>
      <w:r>
        <w:rPr>
          <w:rFonts w:ascii="Times New Roman"/>
        </w:rPr>
        <w:instrText xml:space="preserve"> FORMTEXT </w:instrText>
      </w:r>
      <w:r>
        <w:rPr>
          <w:rFonts w:ascii="Times New Roman"/>
        </w:rPr>
        <w:fldChar w:fldCharType="separate"/>
      </w:r>
      <w:r>
        <w:rPr>
          <w:rFonts w:ascii="Times New Roman"/>
        </w:rPr>
        <w:t>T 47</w:t>
      </w:r>
      <w:r>
        <w:rPr>
          <w:rFonts w:ascii="Times New Roman"/>
        </w:rPr>
        <w:fldChar w:fldCharType="end"/>
      </w:r>
      <w:bookmarkEnd w:id="1"/>
    </w:p>
    <w:p>
      <w:pPr>
        <w:pStyle w:val="66"/>
        <w:framePr w:wrap="around"/>
      </w:pPr>
      <w:r>
        <w:drawing>
          <wp:inline distT="0" distB="0" distL="0" distR="0">
            <wp:extent cx="1440815" cy="716915"/>
            <wp:effectExtent l="0" t="0" r="6985" b="6985"/>
            <wp:docPr id="1"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40815" cy="716915"/>
                    </a:xfrm>
                    <a:prstGeom prst="rect">
                      <a:avLst/>
                    </a:prstGeom>
                    <a:noFill/>
                    <a:ln>
                      <a:noFill/>
                    </a:ln>
                  </pic:spPr>
                </pic:pic>
              </a:graphicData>
            </a:graphic>
          </wp:inline>
        </w:drawing>
      </w:r>
    </w:p>
    <w:p>
      <w:pPr>
        <w:pStyle w:val="67"/>
        <w:framePr w:wrap="around"/>
        <w:rPr>
          <w:rFonts w:ascii="Times New Roman"/>
        </w:rPr>
      </w:pPr>
      <w:r>
        <w:rPr>
          <w:rFonts w:ascii="Times New Roman"/>
        </w:rPr>
        <w:t>中华人民共和国国家标准</w:t>
      </w:r>
    </w:p>
    <w:p>
      <w:pPr>
        <w:pStyle w:val="78"/>
        <w:framePr w:wrap="around"/>
        <w:rPr>
          <w:rFonts w:ascii="Times New Roman"/>
        </w:rPr>
      </w:pPr>
      <w:bookmarkStart w:id="2" w:name="StdName"/>
      <w:r>
        <w:rPr>
          <w:rFonts w:ascii="Times New Roman"/>
        </w:rPr>
        <w:t>电动汽车用动力</w:t>
      </w:r>
      <w:r>
        <w:rPr>
          <w:rFonts w:hint="eastAsia" w:ascii="Times New Roman"/>
        </w:rPr>
        <w:t>蓄</w:t>
      </w:r>
      <w:r>
        <w:rPr>
          <w:rFonts w:ascii="Times New Roman"/>
        </w:rPr>
        <w:t>电池安全要求</w:t>
      </w:r>
      <w:bookmarkEnd w:id="2"/>
      <w:bookmarkStart w:id="3" w:name="StdEnglishName"/>
    </w:p>
    <w:p>
      <w:pPr>
        <w:pStyle w:val="80"/>
        <w:framePr w:wrap="around"/>
        <w:rPr>
          <w:rFonts w:ascii="Times New Roman"/>
          <w:b/>
        </w:rPr>
      </w:pPr>
      <w:r>
        <w:rPr>
          <w:rFonts w:ascii="Times New Roman"/>
          <w:b/>
        </w:rPr>
        <w:t xml:space="preserve">Electric vehicles traction battery safety </w:t>
      </w:r>
      <w:r>
        <w:rPr>
          <w:rFonts w:hint="eastAsia" w:ascii="Times New Roman"/>
          <w:b/>
        </w:rPr>
        <w:t>requirements</w:t>
      </w:r>
    </w:p>
    <w:bookmarkEnd w:id="3"/>
    <w:p>
      <w:pPr>
        <w:pStyle w:val="80"/>
        <w:framePr w:wrap="around"/>
        <w:rPr>
          <w:rFonts w:ascii="Times New Roman"/>
        </w:rPr>
      </w:pPr>
    </w:p>
    <w:tbl>
      <w:tblPr>
        <w:tblStyle w:val="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81"/>
              <w:framePr w:wrap="around"/>
              <w:rPr>
                <w:rFonts w:asciiTheme="majorEastAsia" w:hAnsiTheme="majorEastAsia" w:eastAsiaTheme="majorEastAsia"/>
              </w:rPr>
            </w:pPr>
            <w:r>
              <w:rPr>
                <w:rFonts w:asciiTheme="majorEastAsia" w:hAnsiTheme="majorEastAsia" w:eastAsiaTheme="majorEastAsia"/>
              </w:rPr>
              <mc:AlternateContent>
                <mc:Choice Requires="wps">
                  <w:drawing>
                    <wp:anchor distT="0" distB="0" distL="114300" distR="114300" simplePos="0" relativeHeight="251663360"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49"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312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PQT9mCQIAACEEAAAOAAAAAAAAAAEAIAAA&#10;ACYBAABkcnMvZTJvRG9jLnhtbFBLBQYAAAAABgAGAFkBAAChBQAAAAA=&#10;">
                      <v:fill on="t" focussize="0,0"/>
                      <v:stroke on="f"/>
                      <v:imagedata o:title=""/>
                      <o:lock v:ext="edit" aspectratio="f"/>
                      <w10:anchorlock/>
                    </v:rect>
                  </w:pict>
                </mc:Fallback>
              </mc:AlternateContent>
            </w:r>
            <w:r>
              <w:rPr>
                <w:rFonts w:asciiTheme="majorEastAsia" w:hAnsiTheme="majorEastAsia" w:eastAsiaTheme="majorEastAsia"/>
              </w:rPr>
              <mc:AlternateContent>
                <mc:Choice Requires="wps">
                  <w:drawing>
                    <wp:anchor distT="0" distB="0" distL="114300" distR="114300" simplePos="0" relativeHeight="251662336" behindDoc="1" locked="0" layoutInCell="1" allowOverlap="1">
                      <wp:simplePos x="0" y="0"/>
                      <wp:positionH relativeFrom="column">
                        <wp:posOffset>2454910</wp:posOffset>
                      </wp:positionH>
                      <wp:positionV relativeFrom="paragraph">
                        <wp:posOffset>3964305</wp:posOffset>
                      </wp:positionV>
                      <wp:extent cx="1270000" cy="304800"/>
                      <wp:effectExtent l="0" t="0" r="6350" b="0"/>
                      <wp:wrapNone/>
                      <wp:docPr id="48"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312.15pt;height:24pt;width:100pt;z-index:-251654144;mso-width-relative:page;mso-height-relative:page;" fillcolor="#FFFFFF" filled="t" stroked="f" coordsize="21600,21600" o:gfxdata="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Nw+TDXAAAACwEAAA8AAAAAAAAAAQAgAAAAIgAA&#10;AGRycy9kb3ducmV2LnhtbFBLAQIUABQAAAAIAIdO4kAsWVf+CQIAACEEAAAOAAAAAAAAAAEAIAAA&#10;ACYBAABkcnMvZTJvRG9jLnhtbFBLBQYAAAAABgAGAFkBAAChBQAAAAA=&#10;">
                      <v:fill on="t" focussize="0,0"/>
                      <v:stroke on="f"/>
                      <v:imagedata o:title=""/>
                      <o:lock v:ext="edit" aspectratio="f"/>
                    </v:rect>
                  </w:pict>
                </mc:Fallback>
              </mc:AlternateContent>
            </w:r>
            <w:r>
              <w:rPr>
                <w:rFonts w:asciiTheme="majorEastAsia" w:hAnsiTheme="majorEastAsia" w:eastAsiaTheme="majorEastAsia"/>
              </w:rPr>
              <w:t>(</w:t>
            </w:r>
            <w:r>
              <w:rPr>
                <w:rFonts w:hint="eastAsia" w:asciiTheme="majorEastAsia" w:hAnsiTheme="majorEastAsia" w:eastAsiaTheme="majorEastAsia"/>
              </w:rPr>
              <w:t>征求意见稿</w:t>
            </w:r>
            <w:r>
              <w:rPr>
                <w:rFonts w:asciiTheme="majorEastAsia" w:hAnsiTheme="majorEastAsia" w:eastAsiaTheme="major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82"/>
              <w:framePr w:wrap="around"/>
              <w:rPr>
                <w:rFonts w:ascii="Times New Roman"/>
              </w:rPr>
            </w:pPr>
            <w:r>
              <w:rPr>
                <w:rFonts w:hint="eastAsia" w:ascii="Times New Roman"/>
              </w:rPr>
              <w:t>在提交反馈意见时，请将您知道的相关专利连同支持性文件一并附上。</w:t>
            </w:r>
          </w:p>
        </w:tc>
      </w:tr>
    </w:tbl>
    <w:p>
      <w:pPr>
        <w:pStyle w:val="131"/>
        <w:framePr w:wrap="around" w:hAnchor="page" w:x="1616" w:y="14113"/>
      </w:pPr>
      <w:bookmarkStart w:id="4"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4"/>
      <w:r>
        <w:t xml:space="preserve"> - </w:t>
      </w:r>
      <w:bookmarkStart w:id="5"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 xml:space="preserve"> - </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9251315</wp:posOffset>
                </wp:positionV>
                <wp:extent cx="6120130" cy="0"/>
                <wp:effectExtent l="0" t="0" r="33020" b="19050"/>
                <wp:wrapNone/>
                <wp:docPr id="47"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05pt;margin-top:728.45pt;height:0pt;width:481.9pt;mso-position-vertical-relative:page;z-index:251660288;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jLS/z1wAAAAsBAAAPAAAAAAAAAAEAIAAAACIAAABkcnMv&#10;ZG93bnJldi54bWxQSwECFAAUAAAACACHTuJALxvEicsBAAChAwAADgAAAAAAAAABACAAAAAmAQAA&#10;ZHJzL2Uyb0RvYy54bWxQSwUGAAAAAAYABgBZAQAAYwUAAAAA&#10;">
                <v:fill on="f" focussize="0,0"/>
                <v:stroke color="#000000" joinstyle="round"/>
                <v:imagedata o:title=""/>
                <o:lock v:ext="edit" aspectratio="f"/>
                <w10:anchorlock/>
              </v:line>
            </w:pict>
          </mc:Fallback>
        </mc:AlternateContent>
      </w:r>
    </w:p>
    <w:p>
      <w:pPr>
        <w:pStyle w:val="132"/>
        <w:framePr w:wrap="around" w:hAnchor="page" w:x="7251" w:y="14112"/>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 xml:space="preserve"> - </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 xml:space="preserve"> - </w:t>
      </w:r>
      <w:bookmarkStart w:id="9"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9"/>
      <w:r>
        <w:t>实施</w:t>
      </w:r>
    </w:p>
    <w:p>
      <w:pPr>
        <w:pStyle w:val="154"/>
        <w:framePr/>
        <w:rPr>
          <w:color w:val="000000" w:themeColor="text1"/>
          <w:lang w:val="fr-FR"/>
          <w14:textFill>
            <w14:solidFill>
              <w14:schemeClr w14:val="tx1"/>
            </w14:solidFill>
          </w14:textFill>
        </w:rPr>
      </w:pPr>
      <w:r>
        <w:rPr>
          <w:color w:val="000000" w:themeColor="text1"/>
          <w14:textFill>
            <w14:solidFill>
              <w14:schemeClr w14:val="tx1"/>
            </w14:solidFill>
          </w14:textFill>
        </w:rPr>
        <w:t>GB</w:t>
      </w:r>
      <w:r>
        <w:rPr>
          <w:color w:val="000000" w:themeColor="text1"/>
          <w:lang w:val="fr-FR"/>
          <w14:textFill>
            <w14:solidFill>
              <w14:schemeClr w14:val="tx1"/>
            </w14:solidFill>
          </w14:textFill>
        </w:rPr>
        <w:t xml:space="preserve"> </w:t>
      </w:r>
      <w:r>
        <w:rPr>
          <w:color w:val="000000" w:themeColor="text1"/>
          <w14:textFill>
            <w14:solidFill>
              <w14:schemeClr w14:val="tx1"/>
            </w14:solidFill>
          </w14:textFill>
        </w:rPr>
        <w:t>38031</w:t>
      </w:r>
      <w:r>
        <w:rPr>
          <w:rFonts w:hAnsi="黑体"/>
          <w:color w:val="000000" w:themeColor="text1"/>
          <w:lang w:val="fr-FR"/>
          <w14:textFill>
            <w14:solidFill>
              <w14:schemeClr w14:val="tx1"/>
            </w14:solidFill>
          </w14:textFill>
        </w:rPr>
        <w:t>—</w:t>
      </w:r>
      <w:r>
        <w:rPr>
          <w:color w:val="000000" w:themeColor="text1"/>
          <w14:textFill>
            <w14:solidFill>
              <w14:schemeClr w14:val="tx1"/>
            </w14:solidFill>
          </w14:textFill>
        </w:rPr>
        <w:fldChar w:fldCharType="begin">
          <w:ffData>
            <w:name w:val="NSTD_CODE_B"/>
            <w:enabled/>
            <w:calcOnExit w:val="0"/>
            <w:textInput>
              <w:default w:val="XXXX"/>
            </w:textInput>
          </w:ffData>
        </w:fldChar>
      </w:r>
      <w:bookmarkStart w:id="10" w:name="NSTD_CODE_B"/>
      <w:r>
        <w:rPr>
          <w:color w:val="000000" w:themeColor="text1"/>
          <w:lang w:val="fr-FR"/>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lang w:val="fr-FR"/>
          <w14:textFill>
            <w14:solidFill>
              <w14:schemeClr w14:val="tx1"/>
            </w14:solidFill>
          </w14:textFill>
        </w:rPr>
        <w:t>XXXX</w:t>
      </w:r>
      <w:r>
        <w:rPr>
          <w:color w:val="000000" w:themeColor="text1"/>
          <w14:textFill>
            <w14:solidFill>
              <w14:schemeClr w14:val="tx1"/>
            </w14:solidFill>
          </w14:textFill>
        </w:rPr>
        <w:fldChar w:fldCharType="end"/>
      </w:r>
      <w:bookmarkEnd w:id="10"/>
    </w:p>
    <w:p>
      <w:pPr>
        <w:pStyle w:val="155"/>
        <w:framePr/>
        <w:rPr>
          <w:rFonts w:hAnsi="黑体"/>
          <w:color w:val="000000" w:themeColor="text1"/>
          <w:lang w:val="fr-FR"/>
          <w14:textFill>
            <w14:solidFill>
              <w14:schemeClr w14:val="tx1"/>
            </w14:solidFill>
          </w14:textFill>
        </w:rPr>
      </w:pPr>
      <w:r>
        <w:rPr>
          <w:rFonts w:hAnsi="黑体"/>
          <w:color w:val="000000" w:themeColor="text1"/>
          <w14:textFill>
            <w14:solidFill>
              <w14:schemeClr w14:val="tx1"/>
            </w14:solidFill>
          </w14:textFill>
        </w:rPr>
        <w:fldChar w:fldCharType="begin">
          <w:ffData>
            <w:name w:val="OSTD_CODE"/>
            <w:enabled/>
            <w:calcOnExit w:val="0"/>
            <w:textInput>
              <w:default w:val="代替 GB 38031—2020"/>
            </w:textInput>
          </w:ffData>
        </w:fldChar>
      </w:r>
      <w:bookmarkStart w:id="11" w:name="OSTD_CODE"/>
      <w:r>
        <w:rPr>
          <w:rFonts w:hAnsi="黑体"/>
          <w:color w:val="000000" w:themeColor="text1"/>
          <w14:textFill>
            <w14:solidFill>
              <w14:schemeClr w14:val="tx1"/>
            </w14:solidFill>
          </w14:textFill>
        </w:rPr>
        <w:instrText xml:space="preserve"> FORMTEXT </w:instrText>
      </w:r>
      <w:r>
        <w:rPr>
          <w:rFonts w:hAnsi="黑体"/>
          <w:color w:val="000000" w:themeColor="text1"/>
          <w14:textFill>
            <w14:solidFill>
              <w14:schemeClr w14:val="tx1"/>
            </w14:solidFill>
          </w14:textFill>
        </w:rPr>
        <w:fldChar w:fldCharType="separate"/>
      </w:r>
      <w:r>
        <w:rPr>
          <w:rFonts w:hAnsi="黑体"/>
          <w:color w:val="000000" w:themeColor="text1"/>
          <w14:textFill>
            <w14:solidFill>
              <w14:schemeClr w14:val="tx1"/>
            </w14:solidFill>
          </w14:textFill>
        </w:rPr>
        <w:t>代替 GB 38031—2020</w:t>
      </w:r>
      <w:r>
        <w:rPr>
          <w:rFonts w:hAnsi="黑体"/>
          <w:color w:val="000000" w:themeColor="text1"/>
          <w14:textFill>
            <w14:solidFill>
              <w14:schemeClr w14:val="tx1"/>
            </w14:solidFill>
          </w14:textFill>
        </w:rPr>
        <w:fldChar w:fldCharType="end"/>
      </w:r>
      <w:bookmarkEnd w:id="11"/>
    </w:p>
    <w:p>
      <w:pPr>
        <w:pStyle w:val="23"/>
        <w:ind w:firstLine="560"/>
        <w:rPr>
          <w:rFonts w:ascii="Times New Roman"/>
        </w:rPr>
        <w:sectPr>
          <w:pgSz w:w="11906" w:h="16838"/>
          <w:pgMar w:top="567" w:right="850" w:bottom="1134" w:left="1418" w:header="0" w:footer="0" w:gutter="0"/>
          <w:pgNumType w:start="1"/>
          <w:cols w:space="425" w:num="1"/>
          <w:docGrid w:type="lines" w:linePitch="312" w:charSpace="0"/>
        </w:sectPr>
      </w:pPr>
      <w:r>
        <w:rPr>
          <w:rFonts w:hint="eastAsia" w:hAnsi="宋体"/>
          <w:color w:val="000000" w:themeColor="text1"/>
          <w:sz w:val="28"/>
          <w:szCs w:val="28"/>
          <w14:textFill>
            <w14:solidFill>
              <w14:schemeClr w14:val="tx1"/>
            </w14:solidFill>
          </w14:textFill>
        </w:rPr>
        <w:drawing>
          <wp:anchor distT="0" distB="0" distL="114300" distR="114300" simplePos="0" relativeHeight="251680768" behindDoc="0" locked="0" layoutInCell="1" allowOverlap="1">
            <wp:simplePos x="0" y="0"/>
            <wp:positionH relativeFrom="column">
              <wp:posOffset>1457325</wp:posOffset>
            </wp:positionH>
            <wp:positionV relativeFrom="paragraph">
              <wp:posOffset>9006205</wp:posOffset>
            </wp:positionV>
            <wp:extent cx="2868930" cy="545465"/>
            <wp:effectExtent l="0" t="0" r="0" b="7620"/>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8930" cy="545465"/>
                    </a:xfrm>
                    <a:prstGeom prst="rect">
                      <a:avLst/>
                    </a:prstGeom>
                  </pic:spPr>
                </pic:pic>
              </a:graphicData>
            </a:graphic>
          </wp:anchor>
        </w:drawing>
      </w:r>
      <w:r>
        <w:rPr>
          <w:rFonts w:ascii="Times New Roman"/>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2339340</wp:posOffset>
                </wp:positionV>
                <wp:extent cx="6120130" cy="0"/>
                <wp:effectExtent l="0" t="0" r="33020" b="19050"/>
                <wp:wrapNone/>
                <wp:docPr id="45"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0.05pt;margin-top:184.2pt;height:0pt;width:481.9pt;z-index:251661312;mso-width-relative:page;mso-height-relative:page;" filled="f" stroked="t" coordsize="21600,21600" o:gfxdata="UEsDBAoAAAAAAIdO4kAAAAAAAAAAAAAAAAAEAAAAZHJzL1BLAwQUAAAACACHTuJABdbwCNcAAAAJ&#10;AQAADwAAAGRycy9kb3ducmV2LnhtbE2PzU7DMBCE70h9B2uRuFStnQaF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XW8AjXAAAACQEAAA8AAAAAAAAAAQAgAAAAIgAAAGRycy9k&#10;b3ducmV2LnhtbFBLAQIUABQAAAAIAIdO4kAdNtWzygEAAKEDAAAOAAAAAAAAAAEAIAAAACYBAABk&#10;cnMvZTJvRG9jLnhtbFBLBQYAAAAABgAGAFkBAABiBQAAAAA=&#10;">
                <v:fill on="f" focussize="0,0"/>
                <v:stroke color="#000000" joinstyle="round"/>
                <v:imagedata o:title=""/>
                <o:lock v:ext="edit" aspectratio="f"/>
              </v:line>
            </w:pict>
          </mc:Fallback>
        </mc:AlternateContent>
      </w:r>
    </w:p>
    <w:p>
      <w:pPr>
        <w:pStyle w:val="112"/>
        <w:rPr>
          <w:rFonts w:asciiTheme="minorHAnsi" w:hAnsiTheme="minorHAnsi" w:eastAsiaTheme="minorEastAsia" w:cstheme="minorBidi"/>
          <w:szCs w:val="22"/>
        </w:rPr>
      </w:pPr>
      <w:bookmarkStart w:id="12" w:name="_Toc491440214"/>
      <w:bookmarkStart w:id="13" w:name="_Toc513234272"/>
      <w:bookmarkStart w:id="14" w:name="_Toc504059350"/>
      <w:bookmarkStart w:id="15" w:name="_Toc512347034"/>
      <w:bookmarkStart w:id="16" w:name="_Toc501358447"/>
      <w:bookmarkStart w:id="17" w:name="_Toc511045291"/>
      <w:bookmarkStart w:id="18" w:name="_Toc497749510"/>
      <w:bookmarkStart w:id="19" w:name="_Toc476948636"/>
      <w:bookmarkStart w:id="20" w:name="_Toc512454182"/>
      <w:bookmarkStart w:id="21" w:name="_Toc513232403"/>
      <w:bookmarkStart w:id="22" w:name="_Toc495431155"/>
      <w:bookmarkStart w:id="23" w:name="_Toc510644155"/>
      <w:r>
        <w:rPr>
          <w:rFonts w:ascii="Times New Roman"/>
        </w:rPr>
        <w:t>目  次</w:t>
      </w:r>
      <w:bookmarkEnd w:id="12"/>
      <w:bookmarkEnd w:id="13"/>
      <w:bookmarkEnd w:id="14"/>
      <w:bookmarkEnd w:id="15"/>
      <w:bookmarkEnd w:id="16"/>
      <w:bookmarkEnd w:id="17"/>
      <w:bookmarkEnd w:id="18"/>
      <w:bookmarkEnd w:id="19"/>
      <w:bookmarkEnd w:id="20"/>
      <w:bookmarkEnd w:id="21"/>
      <w:bookmarkEnd w:id="22"/>
      <w:bookmarkEnd w:id="23"/>
      <w:r>
        <w:rPr>
          <w:rFonts w:ascii="Times New Roman"/>
        </w:rPr>
        <w:fldChar w:fldCharType="begin"/>
      </w:r>
      <w:r>
        <w:rPr>
          <w:rFonts w:ascii="Times New Roman"/>
        </w:rPr>
        <w:instrText xml:space="preserve"> TOC \o "1-3" \h \z \u </w:instrText>
      </w:r>
      <w:r>
        <w:rPr>
          <w:rFonts w:ascii="Times New Roman"/>
        </w:rPr>
        <w:fldChar w:fldCharType="separate"/>
      </w:r>
    </w:p>
    <w:p>
      <w:pPr>
        <w:pStyle w:val="19"/>
        <w:spacing w:before="78" w:after="78"/>
        <w:rPr>
          <w:rFonts w:asciiTheme="minorHAnsi" w:hAnsiTheme="minorHAnsi" w:eastAsiaTheme="minorEastAsia" w:cstheme="minorBidi"/>
          <w:szCs w:val="22"/>
        </w:rPr>
      </w:pPr>
      <w:r>
        <w:fldChar w:fldCharType="begin"/>
      </w:r>
      <w:r>
        <w:instrText xml:space="preserve"> HYPERLINK \l "_Toc513234273" </w:instrText>
      </w:r>
      <w:r>
        <w:fldChar w:fldCharType="separate"/>
      </w:r>
      <w:r>
        <w:rPr>
          <w:rStyle w:val="38"/>
          <w:rFonts w:ascii="Times New Roman"/>
        </w:rPr>
        <w:t>前言</w:t>
      </w:r>
      <w:r>
        <w:tab/>
      </w:r>
      <w:r>
        <w:fldChar w:fldCharType="begin"/>
      </w:r>
      <w:r>
        <w:instrText xml:space="preserve"> PAGEREF _Toc513234273 \h </w:instrText>
      </w:r>
      <w:r>
        <w:fldChar w:fldCharType="separate"/>
      </w:r>
      <w:r>
        <w:t>II</w:t>
      </w:r>
      <w:r>
        <w:fldChar w:fldCharType="end"/>
      </w:r>
      <w:r>
        <w:fldChar w:fldCharType="end"/>
      </w:r>
    </w:p>
    <w:p>
      <w:pPr>
        <w:pStyle w:val="19"/>
        <w:spacing w:before="78" w:after="78"/>
        <w:rPr>
          <w:rFonts w:asciiTheme="minorHAnsi" w:hAnsiTheme="minorHAnsi" w:eastAsiaTheme="minorEastAsia" w:cstheme="minorBidi"/>
          <w:szCs w:val="22"/>
        </w:rPr>
      </w:pPr>
      <w:r>
        <w:fldChar w:fldCharType="begin"/>
      </w:r>
      <w:r>
        <w:instrText xml:space="preserve"> HYPERLINK \l "_Toc513234274" </w:instrText>
      </w:r>
      <w:r>
        <w:fldChar w:fldCharType="separate"/>
      </w:r>
      <w:r>
        <w:rPr>
          <w:rStyle w:val="38"/>
          <w:rFonts w:ascii="Times New Roman"/>
        </w:rPr>
        <w:t>引言</w:t>
      </w:r>
      <w:r>
        <w:tab/>
      </w:r>
      <w:r>
        <w:fldChar w:fldCharType="begin"/>
      </w:r>
      <w:r>
        <w:instrText xml:space="preserve"> PAGEREF _Toc513234274 \h </w:instrText>
      </w:r>
      <w:r>
        <w:fldChar w:fldCharType="separate"/>
      </w:r>
      <w:r>
        <w:t>III</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"_Toc513234276" </w:instrText>
      </w:r>
      <w:r>
        <w:fldChar w:fldCharType="separate"/>
      </w:r>
      <w:r>
        <w:rPr>
          <w:rStyle w:val="38"/>
        </w:rPr>
        <w:t>1</w:t>
      </w:r>
      <w:r>
        <w:rPr>
          <w:rStyle w:val="38"/>
          <w:rFonts w:ascii="Times New Roman"/>
        </w:rPr>
        <w:t xml:space="preserve"> 范围</w:t>
      </w:r>
      <w:r>
        <w:tab/>
      </w:r>
      <w:r>
        <w:fldChar w:fldCharType="begin"/>
      </w:r>
      <w:r>
        <w:instrText xml:space="preserve"> PAGEREF _Toc513234276 \h </w:instrText>
      </w:r>
      <w:r>
        <w:fldChar w:fldCharType="separate"/>
      </w:r>
      <w:r>
        <w:t>1</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"_Toc513234277" </w:instrText>
      </w:r>
      <w:r>
        <w:fldChar w:fldCharType="separate"/>
      </w:r>
      <w:r>
        <w:rPr>
          <w:rStyle w:val="38"/>
        </w:rPr>
        <w:t>2</w:t>
      </w:r>
      <w:r>
        <w:rPr>
          <w:rStyle w:val="38"/>
          <w:rFonts w:ascii="Times New Roman"/>
        </w:rPr>
        <w:t xml:space="preserve"> 规范性引用文件</w:t>
      </w:r>
      <w:r>
        <w:tab/>
      </w:r>
      <w:r>
        <w:fldChar w:fldCharType="begin"/>
      </w:r>
      <w:r>
        <w:instrText xml:space="preserve"> PAGEREF _Toc513234277 \h </w:instrText>
      </w:r>
      <w:r>
        <w:fldChar w:fldCharType="separate"/>
      </w:r>
      <w:r>
        <w:t>1</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"_Toc513234278" </w:instrText>
      </w:r>
      <w:r>
        <w:fldChar w:fldCharType="separate"/>
      </w:r>
      <w:r>
        <w:rPr>
          <w:rStyle w:val="38"/>
        </w:rPr>
        <w:t>3</w:t>
      </w:r>
      <w:r>
        <w:rPr>
          <w:rStyle w:val="38"/>
          <w:rFonts w:ascii="Times New Roman"/>
        </w:rPr>
        <w:t xml:space="preserve"> 术语和定义</w:t>
      </w:r>
      <w:r>
        <w:tab/>
      </w:r>
      <w:r>
        <w:fldChar w:fldCharType="begin"/>
      </w:r>
      <w:r>
        <w:instrText xml:space="preserve"> PAGEREF _Toc513234278 \h </w:instrText>
      </w:r>
      <w:r>
        <w:fldChar w:fldCharType="separate"/>
      </w:r>
      <w:r>
        <w:t>1</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"_Toc513234317" </w:instrText>
      </w:r>
      <w:r>
        <w:fldChar w:fldCharType="separate"/>
      </w:r>
      <w:r>
        <w:rPr>
          <w:rStyle w:val="38"/>
        </w:rPr>
        <w:t>4</w:t>
      </w:r>
      <w:r>
        <w:rPr>
          <w:rStyle w:val="38"/>
          <w:rFonts w:ascii="Times New Roman"/>
        </w:rPr>
        <w:t xml:space="preserve"> 符号和缩略语</w:t>
      </w:r>
      <w:r>
        <w:tab/>
      </w:r>
      <w:r>
        <w:fldChar w:fldCharType="begin"/>
      </w:r>
      <w:r>
        <w:instrText xml:space="preserve"> PAGEREF _Toc513234317 \h </w:instrText>
      </w:r>
      <w:r>
        <w:fldChar w:fldCharType="separate"/>
      </w:r>
      <w:r>
        <w:t>3</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"_Toc513234318" </w:instrText>
      </w:r>
      <w:r>
        <w:fldChar w:fldCharType="separate"/>
      </w:r>
      <w:r>
        <w:rPr>
          <w:rStyle w:val="38"/>
        </w:rPr>
        <w:t>5</w:t>
      </w:r>
      <w:r>
        <w:rPr>
          <w:rStyle w:val="38"/>
          <w:rFonts w:ascii="Times New Roman"/>
        </w:rPr>
        <w:t xml:space="preserve"> 安全要求</w:t>
      </w:r>
      <w:r>
        <w:tab/>
      </w:r>
      <w:r>
        <w:fldChar w:fldCharType="begin"/>
      </w:r>
      <w:r>
        <w:instrText xml:space="preserve"> PAGEREF _Toc513234318 \h </w:instrText>
      </w:r>
      <w:r>
        <w:fldChar w:fldCharType="separate"/>
      </w:r>
      <w:r>
        <w:t>4</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"_Toc513234319" </w:instrText>
      </w:r>
      <w:r>
        <w:fldChar w:fldCharType="separate"/>
      </w:r>
      <w:r>
        <w:rPr>
          <w:rStyle w:val="38"/>
        </w:rPr>
        <w:t>5.1</w:t>
      </w:r>
      <w:r>
        <w:rPr>
          <w:rStyle w:val="38"/>
          <w:rFonts w:ascii="Times New Roman"/>
        </w:rPr>
        <w:t xml:space="preserve"> 电池单体安全要求</w:t>
      </w:r>
      <w:r>
        <w:tab/>
      </w:r>
      <w:r>
        <w:fldChar w:fldCharType="begin"/>
      </w:r>
      <w:r>
        <w:instrText xml:space="preserve"> PAGEREF _Toc513234319 \h </w:instrText>
      </w:r>
      <w:r>
        <w:fldChar w:fldCharType="separate"/>
      </w:r>
      <w:r>
        <w:t>4</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"_Toc513234320" </w:instrText>
      </w:r>
      <w:r>
        <w:fldChar w:fldCharType="separate"/>
      </w:r>
      <w:r>
        <w:rPr>
          <w:rStyle w:val="38"/>
        </w:rPr>
        <w:t>5.2</w:t>
      </w:r>
      <w:r>
        <w:rPr>
          <w:rStyle w:val="38"/>
          <w:rFonts w:ascii="Times New Roman"/>
        </w:rPr>
        <w:t xml:space="preserve"> 电池包或系统安全要求</w:t>
      </w:r>
      <w:r>
        <w:tab/>
      </w:r>
      <w:r>
        <w:fldChar w:fldCharType="begin"/>
      </w:r>
      <w:r>
        <w:instrText xml:space="preserve"> PAGEREF _Toc513234320 \h </w:instrText>
      </w:r>
      <w:r>
        <w:fldChar w:fldCharType="separate"/>
      </w:r>
      <w:r>
        <w:t>4</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"_Toc513234321" </w:instrText>
      </w:r>
      <w:r>
        <w:fldChar w:fldCharType="separate"/>
      </w:r>
      <w:r>
        <w:rPr>
          <w:rStyle w:val="38"/>
        </w:rPr>
        <w:t>6</w:t>
      </w:r>
      <w:r>
        <w:rPr>
          <w:rStyle w:val="38"/>
          <w:rFonts w:ascii="Times New Roman"/>
        </w:rPr>
        <w:t xml:space="preserve"> 试验条件</w:t>
      </w:r>
      <w:r>
        <w:tab/>
      </w:r>
      <w:r>
        <w:fldChar w:fldCharType="begin"/>
      </w:r>
      <w:r>
        <w:instrText xml:space="preserve"> PAGEREF _Toc513234321 \h </w:instrText>
      </w:r>
      <w:r>
        <w:fldChar w:fldCharType="separate"/>
      </w:r>
      <w:r>
        <w:t>5</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"_Toc513234322" </w:instrText>
      </w:r>
      <w:r>
        <w:fldChar w:fldCharType="separate"/>
      </w:r>
      <w:r>
        <w:rPr>
          <w:rStyle w:val="38"/>
        </w:rPr>
        <w:t>6.1</w:t>
      </w:r>
      <w:r>
        <w:rPr>
          <w:rStyle w:val="38"/>
          <w:rFonts w:ascii="Times New Roman"/>
        </w:rPr>
        <w:t xml:space="preserve"> 一般条件</w:t>
      </w:r>
      <w:r>
        <w:tab/>
      </w:r>
      <w:r>
        <w:fldChar w:fldCharType="begin"/>
      </w:r>
      <w:r>
        <w:instrText xml:space="preserve"> PAGEREF _Toc513234322 \h </w:instrText>
      </w:r>
      <w:r>
        <w:fldChar w:fldCharType="separate"/>
      </w:r>
      <w:r>
        <w:t>5</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"_Toc513234336" </w:instrText>
      </w:r>
      <w:r>
        <w:fldChar w:fldCharType="separate"/>
      </w:r>
      <w:r>
        <w:rPr>
          <w:rStyle w:val="38"/>
        </w:rPr>
        <w:t>6.2</w:t>
      </w:r>
      <w:r>
        <w:rPr>
          <w:rStyle w:val="38"/>
          <w:rFonts w:ascii="Times New Roman"/>
        </w:rPr>
        <w:t xml:space="preserve"> 测量仪器、仪表准确度</w:t>
      </w:r>
      <w:r>
        <w:tab/>
      </w:r>
      <w:r>
        <w:fldChar w:fldCharType="begin"/>
      </w:r>
      <w:r>
        <w:instrText xml:space="preserve"> PAGEREF _Toc513234336 \h </w:instrText>
      </w:r>
      <w:r>
        <w:fldChar w:fldCharType="separate"/>
      </w:r>
      <w:r>
        <w:t>6</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"_Toc513234337" </w:instrText>
      </w:r>
      <w:r>
        <w:fldChar w:fldCharType="separate"/>
      </w:r>
      <w:r>
        <w:rPr>
          <w:rStyle w:val="38"/>
        </w:rPr>
        <w:t>6.3</w:t>
      </w:r>
      <w:r>
        <w:rPr>
          <w:rStyle w:val="38"/>
          <w:rFonts w:ascii="Times New Roman"/>
        </w:rPr>
        <w:t xml:space="preserve"> 测试过程误差</w:t>
      </w:r>
      <w:r>
        <w:tab/>
      </w:r>
      <w:r>
        <w:fldChar w:fldCharType="begin"/>
      </w:r>
      <w:r>
        <w:instrText xml:space="preserve"> PAGEREF _Toc513234337 \h </w:instrText>
      </w:r>
      <w:r>
        <w:fldChar w:fldCharType="separate"/>
      </w:r>
      <w:r>
        <w:t>6</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"_Toc513234338" </w:instrText>
      </w:r>
      <w:r>
        <w:fldChar w:fldCharType="separate"/>
      </w:r>
      <w:r>
        <w:rPr>
          <w:rStyle w:val="38"/>
        </w:rPr>
        <w:t>6.4</w:t>
      </w:r>
      <w:r>
        <w:rPr>
          <w:rStyle w:val="38"/>
          <w:rFonts w:ascii="Times New Roman"/>
        </w:rPr>
        <w:t xml:space="preserve"> 数据记录与记录间隔</w:t>
      </w:r>
      <w:r>
        <w:tab/>
      </w:r>
      <w:r>
        <w:fldChar w:fldCharType="begin"/>
      </w:r>
      <w:r>
        <w:instrText xml:space="preserve"> PAGEREF _Toc513234338 \h </w:instrText>
      </w:r>
      <w:r>
        <w:fldChar w:fldCharType="separate"/>
      </w:r>
      <w:r>
        <w:t>7</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"_Toc513234339" </w:instrText>
      </w:r>
      <w:r>
        <w:fldChar w:fldCharType="separate"/>
      </w:r>
      <w:r>
        <w:rPr>
          <w:rStyle w:val="38"/>
        </w:rPr>
        <w:t>7</w:t>
      </w:r>
      <w:r>
        <w:rPr>
          <w:rStyle w:val="38"/>
          <w:rFonts w:ascii="Times New Roman"/>
        </w:rPr>
        <w:t xml:space="preserve"> 试验准备</w:t>
      </w:r>
      <w:r>
        <w:tab/>
      </w:r>
      <w:r>
        <w:fldChar w:fldCharType="begin"/>
      </w:r>
      <w:r>
        <w:instrText xml:space="preserve"> PAGEREF _Toc513234339 \h </w:instrText>
      </w:r>
      <w:r>
        <w:fldChar w:fldCharType="separate"/>
      </w:r>
      <w:r>
        <w:t>7</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"_Toc513234340" </w:instrText>
      </w:r>
      <w:r>
        <w:fldChar w:fldCharType="separate"/>
      </w:r>
      <w:r>
        <w:rPr>
          <w:rStyle w:val="38"/>
        </w:rPr>
        <w:t>7.1</w:t>
      </w:r>
      <w:r>
        <w:rPr>
          <w:rStyle w:val="38"/>
          <w:rFonts w:asciiTheme="minorEastAsia" w:hAnsiTheme="minorEastAsia"/>
        </w:rPr>
        <w:t xml:space="preserve"> 电池单体试验准备</w:t>
      </w:r>
      <w:bookmarkStart w:id="24" w:name="_Hlk517530150"/>
      <w:r>
        <w:tab/>
      </w:r>
      <w:bookmarkEnd w:id="24"/>
      <w:r>
        <w:fldChar w:fldCharType="begin"/>
      </w:r>
      <w:r>
        <w:instrText xml:space="preserve"> PAGEREF _Toc513234340 \h </w:instrText>
      </w:r>
      <w:r>
        <w:fldChar w:fldCharType="separate"/>
      </w:r>
      <w:r>
        <w:t>7</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"_Toc513234342" </w:instrText>
      </w:r>
      <w:r>
        <w:fldChar w:fldCharType="separate"/>
      </w:r>
      <w:r>
        <w:rPr>
          <w:rStyle w:val="38"/>
        </w:rPr>
        <w:t>7.2</w:t>
      </w:r>
      <w:r>
        <w:rPr>
          <w:rStyle w:val="38"/>
          <w:rFonts w:asciiTheme="minorEastAsia" w:hAnsiTheme="minorEastAsia"/>
        </w:rPr>
        <w:t xml:space="preserve"> 电池包或系统试验准备</w:t>
      </w:r>
      <w:r>
        <w:tab/>
      </w:r>
      <w:r>
        <w:fldChar w:fldCharType="begin"/>
      </w:r>
      <w:r>
        <w:instrText xml:space="preserve"> PAGEREF _Toc513234342 \h </w:instrText>
      </w:r>
      <w:r>
        <w:fldChar w:fldCharType="separate"/>
      </w:r>
      <w:r>
        <w:t>7</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"_Toc513234345" </w:instrText>
      </w:r>
      <w:r>
        <w:fldChar w:fldCharType="separate"/>
      </w:r>
      <w:r>
        <w:rPr>
          <w:rStyle w:val="38"/>
        </w:rPr>
        <w:t>8</w:t>
      </w:r>
      <w:r>
        <w:rPr>
          <w:rStyle w:val="38"/>
          <w:rFonts w:ascii="Times New Roman"/>
        </w:rPr>
        <w:t xml:space="preserve"> 试验方法</w:t>
      </w:r>
      <w:r>
        <w:tab/>
      </w:r>
      <w:r>
        <w:fldChar w:fldCharType="begin"/>
      </w:r>
      <w:r>
        <w:instrText xml:space="preserve"> PAGEREF _Toc513234345 \h </w:instrText>
      </w:r>
      <w:r>
        <w:fldChar w:fldCharType="separate"/>
      </w:r>
      <w:r>
        <w:t>8</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"_Toc513234346" </w:instrText>
      </w:r>
      <w:r>
        <w:fldChar w:fldCharType="separate"/>
      </w:r>
      <w:r>
        <w:rPr>
          <w:rStyle w:val="38"/>
        </w:rPr>
        <w:t>8.1</w:t>
      </w:r>
      <w:r>
        <w:rPr>
          <w:rStyle w:val="38"/>
          <w:rFonts w:asciiTheme="minorEastAsia" w:hAnsiTheme="minorEastAsia"/>
        </w:rPr>
        <w:t xml:space="preserve"> 电池单体安全性试验方法</w:t>
      </w:r>
      <w:r>
        <w:tab/>
      </w:r>
      <w:r>
        <w:fldChar w:fldCharType="begin"/>
      </w:r>
      <w:r>
        <w:instrText xml:space="preserve"> PAGEREF _Toc513234346 \h </w:instrText>
      </w:r>
      <w:r>
        <w:fldChar w:fldCharType="separate"/>
      </w:r>
      <w:r>
        <w:t>8</w:t>
      </w:r>
      <w:r>
        <w:fldChar w:fldCharType="end"/>
      </w:r>
      <w:r>
        <w:fldChar w:fldCharType="end"/>
      </w:r>
    </w:p>
    <w:p>
      <w:pPr>
        <w:pStyle w:val="12"/>
        <w:ind w:firstLine="210"/>
        <w:rPr>
          <w:rFonts w:asciiTheme="minorHAnsi" w:hAnsiTheme="minorHAnsi" w:eastAsiaTheme="minorEastAsia" w:cstheme="minorBidi"/>
          <w:szCs w:val="22"/>
        </w:rPr>
      </w:pPr>
      <w:r>
        <w:fldChar w:fldCharType="begin"/>
      </w:r>
      <w:r>
        <w:instrText xml:space="preserve"> HYPERLINK \l "_Toc513234356" </w:instrText>
      </w:r>
      <w:r>
        <w:fldChar w:fldCharType="separate"/>
      </w:r>
      <w:r>
        <w:rPr>
          <w:rStyle w:val="38"/>
        </w:rPr>
        <w:t>8.2</w:t>
      </w:r>
      <w:r>
        <w:rPr>
          <w:rStyle w:val="38"/>
          <w:rFonts w:asciiTheme="minorEastAsia" w:hAnsiTheme="minorEastAsia"/>
        </w:rPr>
        <w:t xml:space="preserve"> 电池包或系统安全性试验方法</w:t>
      </w:r>
      <w:r>
        <w:tab/>
      </w:r>
      <w:r>
        <w:fldChar w:fldCharType="begin"/>
      </w:r>
      <w:r>
        <w:instrText xml:space="preserve"> PAGEREF _Toc513234356 \h </w:instrText>
      </w:r>
      <w:r>
        <w:fldChar w:fldCharType="separate"/>
      </w:r>
      <w:r>
        <w:t>10</w:t>
      </w:r>
      <w:r>
        <w:fldChar w:fldCharType="end"/>
      </w:r>
      <w:r>
        <w:fldChar w:fldCharType="end"/>
      </w:r>
    </w:p>
    <w:p>
      <w:pPr>
        <w:pStyle w:val="28"/>
        <w:rPr>
          <w:rFonts w:asciiTheme="minorHAnsi" w:hAnsiTheme="minorHAnsi" w:eastAsiaTheme="minorEastAsia" w:cstheme="minorBidi"/>
          <w:szCs w:val="22"/>
        </w:rPr>
      </w:pPr>
      <w:r>
        <w:fldChar w:fldCharType="begin"/>
      </w:r>
      <w:r>
        <w:instrText xml:space="preserve"> HYPERLINK \l "_Toc513234376" </w:instrText>
      </w:r>
      <w:r>
        <w:fldChar w:fldCharType="separate"/>
      </w:r>
      <w:r>
        <w:rPr>
          <w:rStyle w:val="38"/>
        </w:rPr>
        <w:t>9</w:t>
      </w:r>
      <w:r>
        <w:rPr>
          <w:rStyle w:val="38"/>
          <w:rFonts w:ascii="Times New Roman"/>
        </w:rPr>
        <w:t xml:space="preserve"> 实施</w:t>
      </w:r>
      <w:r>
        <w:rPr>
          <w:rStyle w:val="38"/>
          <w:rFonts w:hint="eastAsia" w:ascii="Times New Roman"/>
        </w:rPr>
        <w:t>日期</w:t>
      </w:r>
      <w:r>
        <w:tab/>
      </w:r>
      <w:r>
        <w:fldChar w:fldCharType="begin"/>
      </w:r>
      <w:r>
        <w:instrText xml:space="preserve"> PAGEREF _Toc513234376 \h </w:instrText>
      </w:r>
      <w:r>
        <w:fldChar w:fldCharType="separate"/>
      </w:r>
      <w:r>
        <w:t>22</w:t>
      </w:r>
      <w:r>
        <w:fldChar w:fldCharType="end"/>
      </w:r>
      <w:r>
        <w:fldChar w:fldCharType="end"/>
      </w:r>
    </w:p>
    <w:p>
      <w:pPr>
        <w:pStyle w:val="19"/>
        <w:spacing w:before="78" w:after="78"/>
        <w:rPr>
          <w:rFonts w:asciiTheme="minorHAnsi" w:hAnsiTheme="minorHAnsi" w:eastAsiaTheme="minorEastAsia" w:cstheme="minorBidi"/>
          <w:szCs w:val="22"/>
        </w:rPr>
      </w:pPr>
      <w:r>
        <w:fldChar w:fldCharType="begin"/>
      </w:r>
      <w:r>
        <w:instrText xml:space="preserve"> HYPERLINK \l "_Toc513234379" </w:instrText>
      </w:r>
      <w:r>
        <w:fldChar w:fldCharType="separate"/>
      </w:r>
      <w:r>
        <w:rPr>
          <w:rStyle w:val="38"/>
        </w:rPr>
        <w:t>附录A</w:t>
      </w:r>
      <w:r>
        <w:rPr>
          <w:rStyle w:val="38"/>
          <w:rFonts w:ascii="Times New Roman"/>
        </w:rPr>
        <w:t xml:space="preserve"> （资料性附录） 电池包或系统的典型结构</w:t>
      </w:r>
      <w:r>
        <w:tab/>
      </w:r>
      <w:r>
        <w:fldChar w:fldCharType="begin"/>
      </w:r>
      <w:r>
        <w:instrText xml:space="preserve"> PAGEREF _Toc513234379 \h </w:instrText>
      </w:r>
      <w:r>
        <w:fldChar w:fldCharType="separate"/>
      </w:r>
      <w:r>
        <w:t>24</w:t>
      </w:r>
      <w:r>
        <w:fldChar w:fldCharType="end"/>
      </w:r>
      <w:r>
        <w:fldChar w:fldCharType="end"/>
      </w:r>
    </w:p>
    <w:p>
      <w:pPr>
        <w:pStyle w:val="19"/>
        <w:spacing w:before="78" w:after="78"/>
        <w:rPr>
          <w:rFonts w:asciiTheme="minorHAnsi" w:hAnsiTheme="minorHAnsi" w:eastAsiaTheme="minorEastAsia" w:cstheme="minorBidi"/>
          <w:szCs w:val="22"/>
        </w:rPr>
      </w:pPr>
      <w:r>
        <w:fldChar w:fldCharType="begin"/>
      </w:r>
      <w:r>
        <w:instrText xml:space="preserve"> HYPERLINK \l "_Toc513234382" </w:instrText>
      </w:r>
      <w:r>
        <w:fldChar w:fldCharType="separate"/>
      </w:r>
      <w:r>
        <w:rPr>
          <w:rStyle w:val="38"/>
        </w:rPr>
        <w:t>附录B</w:t>
      </w:r>
      <w:r>
        <w:rPr>
          <w:rStyle w:val="38"/>
          <w:rFonts w:ascii="Times New Roman"/>
        </w:rPr>
        <w:t xml:space="preserve"> （规范性附录） 电池包或系统绝缘电阻测试方法</w:t>
      </w:r>
      <w:r>
        <w:tab/>
      </w:r>
      <w:r>
        <w:fldChar w:fldCharType="begin"/>
      </w:r>
      <w:r>
        <w:instrText xml:space="preserve"> PAGEREF _Toc513234382 \h </w:instrText>
      </w:r>
      <w:r>
        <w:fldChar w:fldCharType="separate"/>
      </w:r>
      <w:r>
        <w:t>26</w:t>
      </w:r>
      <w:r>
        <w:fldChar w:fldCharType="end"/>
      </w:r>
      <w:r>
        <w:fldChar w:fldCharType="end"/>
      </w:r>
    </w:p>
    <w:p>
      <w:pPr>
        <w:pStyle w:val="19"/>
        <w:spacing w:before="78" w:after="78"/>
        <w:rPr>
          <w:rFonts w:asciiTheme="minorHAnsi" w:hAnsiTheme="minorHAnsi" w:eastAsiaTheme="minorEastAsia" w:cstheme="minorBidi"/>
          <w:szCs w:val="22"/>
        </w:rPr>
      </w:pPr>
      <w:r>
        <w:fldChar w:fldCharType="begin"/>
      </w:r>
      <w:r>
        <w:instrText xml:space="preserve"> HYPERLINK \l "_Toc513234388" </w:instrText>
      </w:r>
      <w:r>
        <w:fldChar w:fldCharType="separate"/>
      </w:r>
      <w:r>
        <w:rPr>
          <w:rStyle w:val="38"/>
        </w:rPr>
        <w:t>附录C</w:t>
      </w:r>
      <w:r>
        <w:rPr>
          <w:rStyle w:val="38"/>
          <w:rFonts w:ascii="Times New Roman"/>
        </w:rPr>
        <w:t xml:space="preserve"> （规范性附录） 热扩散分析与验证报告</w:t>
      </w:r>
      <w:r>
        <w:tab/>
      </w:r>
      <w:r>
        <w:fldChar w:fldCharType="begin"/>
      </w:r>
      <w:r>
        <w:instrText xml:space="preserve"> PAGEREF _Toc513234388 \h </w:instrText>
      </w:r>
      <w:r>
        <w:fldChar w:fldCharType="separate"/>
      </w:r>
      <w:r>
        <w:t>28</w:t>
      </w:r>
      <w:r>
        <w:fldChar w:fldCharType="end"/>
      </w:r>
      <w:r>
        <w:fldChar w:fldCharType="end"/>
      </w:r>
    </w:p>
    <w:p>
      <w:pPr>
        <w:pStyle w:val="19"/>
        <w:spacing w:before="78" w:after="78"/>
        <w:rPr>
          <w:rFonts w:asciiTheme="minorHAnsi" w:hAnsiTheme="minorHAnsi" w:eastAsiaTheme="minorEastAsia" w:cstheme="minorBidi"/>
          <w:szCs w:val="22"/>
        </w:rPr>
      </w:pPr>
      <w:r>
        <w:fldChar w:fldCharType="begin"/>
      </w:r>
      <w:r>
        <w:instrText xml:space="preserve"> HYPERLINK \l "_Toc513234412" </w:instrText>
      </w:r>
      <w:r>
        <w:fldChar w:fldCharType="separate"/>
      </w:r>
      <w:r>
        <w:rPr>
          <w:rStyle w:val="38"/>
        </w:rPr>
        <w:t>参考文献</w:t>
      </w:r>
      <w:r>
        <w:tab/>
      </w:r>
      <w:r>
        <w:rPr>
          <w:rFonts w:hint="eastAsia"/>
        </w:rPr>
        <w:t>33</w:t>
      </w:r>
      <w:r>
        <w:rPr>
          <w:rFonts w:hint="eastAsia"/>
        </w:rPr>
        <w:fldChar w:fldCharType="end"/>
      </w:r>
    </w:p>
    <w:p>
      <w:pPr>
        <w:pStyle w:val="19"/>
        <w:spacing w:before="78" w:after="78"/>
        <w:rPr>
          <w:rFonts w:asciiTheme="minorHAnsi" w:hAnsiTheme="minorHAnsi" w:eastAsiaTheme="minorEastAsia" w:cstheme="minorBidi"/>
          <w:szCs w:val="22"/>
        </w:rPr>
      </w:pPr>
      <w:r>
        <w:rPr>
          <w:rFonts w:ascii="Times New Roman"/>
          <w:b/>
          <w:bCs/>
          <w:lang w:val="zh-CN"/>
        </w:rPr>
        <w:fldChar w:fldCharType="end"/>
      </w:r>
    </w:p>
    <w:p>
      <w:pPr>
        <w:pStyle w:val="112"/>
        <w:spacing w:before="480" w:after="480"/>
        <w:rPr>
          <w:rFonts w:ascii="Times New Roman"/>
        </w:rPr>
      </w:pPr>
      <w:bookmarkStart w:id="25" w:name="_Toc513234273"/>
      <w:bookmarkStart w:id="26" w:name="_Toc450682819"/>
      <w:r>
        <w:rPr>
          <w:rFonts w:ascii="Times New Roman"/>
        </w:rPr>
        <w:t>前</w:t>
      </w:r>
      <w:bookmarkStart w:id="27" w:name="BKQY"/>
      <w:r>
        <w:rPr>
          <w:rFonts w:ascii="Times New Roman"/>
        </w:rPr>
        <w:t>  言</w:t>
      </w:r>
      <w:bookmarkEnd w:id="25"/>
      <w:bookmarkEnd w:id="26"/>
      <w:bookmarkEnd w:id="27"/>
    </w:p>
    <w:p>
      <w:pPr>
        <w:pStyle w:val="23"/>
        <w:rPr>
          <w:rFonts w:ascii="Times New Roman"/>
        </w:rPr>
      </w:pPr>
      <w:r>
        <w:rPr>
          <w:rFonts w:ascii="Times New Roman"/>
        </w:rPr>
        <w:t>本</w:t>
      </w:r>
      <w:r>
        <w:rPr>
          <w:rFonts w:hint="eastAsia" w:ascii="Times New Roman"/>
        </w:rPr>
        <w:t>文件</w:t>
      </w:r>
      <w:r>
        <w:rPr>
          <w:rFonts w:ascii="Times New Roman"/>
        </w:rPr>
        <w:t>按照GB/T 1.1</w:t>
      </w:r>
      <w:r>
        <w:rPr>
          <w:rFonts w:hint="eastAsia" w:ascii="Times New Roman"/>
        </w:rPr>
        <w:t>—</w:t>
      </w:r>
      <w:r>
        <w:rPr>
          <w:rFonts w:ascii="Times New Roman"/>
        </w:rPr>
        <w:t>2020</w:t>
      </w:r>
      <w:r>
        <w:rPr>
          <w:rFonts w:hint="eastAsia" w:ascii="Times New Roman"/>
        </w:rPr>
        <w:t>《标准化工作导则 第1部分：标准化文件的结构和起草规则》</w:t>
      </w:r>
      <w:r>
        <w:rPr>
          <w:rFonts w:ascii="Times New Roman"/>
        </w:rPr>
        <w:t>的</w:t>
      </w:r>
      <w:r>
        <w:rPr>
          <w:rFonts w:hint="eastAsia" w:ascii="Times New Roman"/>
        </w:rPr>
        <w:t>规定</w:t>
      </w:r>
      <w:r>
        <w:rPr>
          <w:rFonts w:ascii="Times New Roman"/>
        </w:rPr>
        <w:t>起草。</w:t>
      </w:r>
    </w:p>
    <w:p>
      <w:pPr>
        <w:pStyle w:val="23"/>
        <w:rPr>
          <w:rFonts w:ascii="Times New Roman"/>
        </w:rPr>
      </w:pPr>
      <w:r>
        <w:rPr>
          <w:rFonts w:hint="eastAsia" w:ascii="Times New Roman"/>
        </w:rPr>
        <w:t>本文件代替</w:t>
      </w:r>
      <w:r>
        <w:rPr>
          <w:rFonts w:ascii="Times New Roman"/>
        </w:rPr>
        <w:t>GB 38031</w:t>
      </w:r>
      <w:r>
        <w:rPr>
          <w:rFonts w:hint="eastAsia" w:ascii="Times New Roman"/>
        </w:rPr>
        <w:t>—2</w:t>
      </w:r>
      <w:r>
        <w:rPr>
          <w:rFonts w:ascii="Times New Roman"/>
        </w:rPr>
        <w:t>020</w:t>
      </w:r>
      <w:r>
        <w:rPr>
          <w:rFonts w:hint="eastAsia" w:ascii="Times New Roman"/>
        </w:rPr>
        <w:t>《电动汽车用动力蓄电池安全要求》，与G</w:t>
      </w:r>
      <w:r>
        <w:rPr>
          <w:rFonts w:ascii="Times New Roman"/>
        </w:rPr>
        <w:t>B 38031</w:t>
      </w:r>
      <w:r>
        <w:rPr>
          <w:rFonts w:hint="eastAsia" w:ascii="Times New Roman"/>
        </w:rPr>
        <w:t>—2</w:t>
      </w:r>
      <w:r>
        <w:rPr>
          <w:rFonts w:ascii="Times New Roman"/>
        </w:rPr>
        <w:t>020</w:t>
      </w:r>
      <w:r>
        <w:rPr>
          <w:rFonts w:hint="eastAsia" w:ascii="Times New Roman"/>
        </w:rPr>
        <w:t>相比，除结构调整和编辑性改动外，主要技术变化如下：</w:t>
      </w:r>
    </w:p>
    <w:p>
      <w:pPr>
        <w:pStyle w:val="23"/>
        <w:ind w:firstLineChars="0"/>
        <w:rPr>
          <w:rFonts w:hint="default" w:ascii="Times New Roman" w:hAnsi="Times New Roman" w:cs="Times New Roman"/>
        </w:rPr>
      </w:pPr>
      <w:r>
        <w:rPr>
          <w:rFonts w:hint="eastAsia" w:ascii="等线" w:hAnsi="等线" w:eastAsia="等线"/>
        </w:rPr>
        <w:t>——</w:t>
      </w:r>
      <w:r>
        <w:rPr>
          <w:rFonts w:hint="default" w:ascii="Times New Roman" w:hAnsi="Times New Roman" w:cs="Times New Roman"/>
        </w:rPr>
        <w:t>更改了范围（见第1章，2020版的第1章）；</w:t>
      </w:r>
    </w:p>
    <w:p>
      <w:pPr>
        <w:pStyle w:val="23"/>
        <w:ind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更改了泄漏的定义（见3.13，2020版的3.13）；</w:t>
      </w:r>
    </w:p>
    <w:p>
      <w:pPr>
        <w:pStyle w:val="23"/>
        <w:ind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增加了热事件的定义（见3.14）；</w:t>
      </w:r>
    </w:p>
    <w:p>
      <w:pPr>
        <w:pStyle w:val="23"/>
        <w:ind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增加了电池单体快充后安全的要求和试验方法（见5.1.7, 8.1.8）</w:t>
      </w:r>
    </w:p>
    <w:p>
      <w:pPr>
        <w:pStyle w:val="23"/>
        <w:ind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增加了电池包或系统振动的安全要求（见5.2.1，2020版的5.2.1）；</w:t>
      </w:r>
    </w:p>
    <w:p>
      <w:pPr>
        <w:pStyle w:val="23"/>
        <w:ind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增加了电池包或系统机械冲击的安全要求（见5.2.2，2020版的5.2.2）；</w:t>
      </w:r>
    </w:p>
    <w:p>
      <w:pPr>
        <w:pStyle w:val="23"/>
        <w:ind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增加了电池包或系统模拟碰撞的安全要求（见5.2.3，2020版的5.2.3）；</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更改了电池包或系统湿热循环的安全要求和试验方法（见5.2.5和8.2.5，2020版的5.2.5和8.2.5）；</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w:t>
      </w:r>
      <w:r>
        <w:rPr>
          <w:rFonts w:hint="eastAsia" w:ascii="Times New Roman" w:cs="Times New Roman"/>
          <w:lang w:val="en-US" w:eastAsia="zh-CN"/>
        </w:rPr>
        <w:t>热稳定性试验</w:t>
      </w:r>
      <w:r>
        <w:rPr>
          <w:rFonts w:hint="default" w:ascii="Times New Roman" w:hAnsi="Times New Roman" w:cs="Times New Roman"/>
        </w:rPr>
        <w:t>安全要求和试验方法</w:t>
      </w:r>
      <w:r>
        <w:rPr>
          <w:rFonts w:hint="eastAsia" w:ascii="Times New Roman" w:cs="Times New Roman" w:eastAsiaTheme="minorEastAsia"/>
          <w:lang w:eastAsia="zh-CN"/>
        </w:rPr>
        <w:t>（</w:t>
      </w:r>
      <w:r>
        <w:rPr>
          <w:rFonts w:hint="default" w:ascii="Times New Roman" w:hAnsi="Times New Roman" w:cs="Times New Roman"/>
        </w:rPr>
        <w:t>见5.2.7、8.2.7和附录C，2020版的5.2.7、8.2.7和附录C</w:t>
      </w:r>
      <w:r>
        <w:rPr>
          <w:rFonts w:hint="eastAsia" w:ascii="Times New Roman" w:cs="Times New Roman" w:eastAsiaTheme="minorEastAsia"/>
          <w:lang w:eastAsia="zh-CN"/>
        </w:rPr>
        <w:t>）</w:t>
      </w:r>
      <w:r>
        <w:rPr>
          <w:rFonts w:hint="default" w:ascii="Times New Roman" w:hAnsi="Times New Roman" w:cs="Times New Roman"/>
        </w:rPr>
        <w:t>；</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更改了电池包或系统温度冲击的安全要求和试验方法（见5.2.8和8.2.8，2020版的5.2.8和8.2.8）；</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更改了电池包或系统盐雾的安全要求和试验方法（见5.2.9和8.2.9，2020版的5.2.9和8.2.9）；</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更改了电池包或系统高海拔的安全要求（见5.2.10，2020版的5.2.10）；</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更改了电池包或系统过温保护的安全要求和试验方法（见5.2.11和8.2.11，2020版的5.2.11和8.2.11）；</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更改了电池包或系统过流保护的安全要求（见5.2.12，2020版的5.2.12）；</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更改了电池包或系统外部短路保护的安全要求（见5.2.13，2020版的5.2.13）；</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更改了电池包或系统过充电保护的安全要求（见5.2.14，2020版的5.2.14）；</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更改了电池包或系统过放电保护的安全要求（见5.2.15，2020版的5.2.15）；</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eastAsiaTheme="minorEastAsia"/>
        </w:rPr>
        <w:t>增加了</w:t>
      </w:r>
      <w:r>
        <w:rPr>
          <w:rFonts w:hint="default" w:ascii="Times New Roman" w:hAnsi="Times New Roman" w:cs="Times New Roman"/>
        </w:rPr>
        <w:t>电池包或系统或整车底部撞击的安全要求和试验方法（见5.2.16和8.2.16）；</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更改了测试过程误差、数据记录与记录间隔（见6.3和6.4，2020版的6.3和6.4）；</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eastAsiaTheme="minorEastAsia"/>
        </w:rPr>
        <w:t>更改</w:t>
      </w:r>
      <w:r>
        <w:rPr>
          <w:rFonts w:hint="default" w:ascii="Times New Roman" w:hAnsi="Times New Roman" w:cs="Times New Roman"/>
        </w:rPr>
        <w:t>了加热的试验方法（见8.1.5，2020版的8.1.5）；</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更改了电池单体挤压的试验方法（见8.1.7，2020版的8.1.7）；</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更改了电池包或系统挤压的试验方法（见8.2.4，2020版的8.12.4）；</w:t>
      </w:r>
    </w:p>
    <w:p>
      <w:pPr>
        <w:pStyle w:val="23"/>
        <w:ind w:left="420" w:firstLine="0" w:firstLineChars="0"/>
        <w:rPr>
          <w:rFonts w:hint="default" w:ascii="Times New Roman" w:hAnsi="Times New Roman" w:cs="Times New Roman"/>
        </w:rPr>
      </w:pPr>
      <w:r>
        <w:rPr>
          <w:rFonts w:hint="default" w:ascii="Times New Roman" w:hAnsi="Times New Roman" w:eastAsia="等线" w:cs="Times New Roman"/>
        </w:rPr>
        <w:t>——</w:t>
      </w:r>
      <w:r>
        <w:rPr>
          <w:rFonts w:hint="default" w:ascii="Times New Roman" w:hAnsi="Times New Roman" w:cs="Times New Roman"/>
        </w:rPr>
        <w:t>更改了电池包或系统外部火烧的试验方法（见8.2.7.1，2020版的8.2.7.1）。</w:t>
      </w:r>
    </w:p>
    <w:p>
      <w:pPr>
        <w:pStyle w:val="158"/>
        <w:ind w:firstLine="420"/>
        <w:rPr>
          <w:rFonts w:hint="default" w:ascii="Times New Roman" w:hAnsi="Times New Roman" w:cs="Times New Roman"/>
        </w:rPr>
      </w:pPr>
      <w:r>
        <w:rPr>
          <w:rFonts w:hint="default" w:ascii="Times New Roman" w:hAnsi="Times New Roman" w:cs="Times New Roman"/>
        </w:rPr>
        <w:t>请注意本文件的某些内容可能涉及专利。本文件的发布机构不承担识别专利的责任。</w:t>
      </w:r>
    </w:p>
    <w:p>
      <w:pPr>
        <w:pStyle w:val="23"/>
        <w:rPr>
          <w:rFonts w:hint="default" w:ascii="Times New Roman" w:hAnsi="Times New Roman" w:cs="Times New Roman"/>
        </w:rPr>
      </w:pPr>
      <w:r>
        <w:rPr>
          <w:rFonts w:hint="default" w:ascii="Times New Roman" w:hAnsi="Times New Roman" w:cs="Times New Roman"/>
        </w:rPr>
        <w:t>本文件由中华人民共和国工业和信息化部提出并归口。</w:t>
      </w:r>
    </w:p>
    <w:p>
      <w:pPr>
        <w:pStyle w:val="23"/>
        <w:rPr>
          <w:rFonts w:hint="default" w:ascii="Times New Roman" w:hAnsi="Times New Roman" w:cs="Times New Roman"/>
        </w:rPr>
      </w:pPr>
      <w:r>
        <w:rPr>
          <w:rFonts w:hint="default" w:ascii="Times New Roman" w:hAnsi="Times New Roman" w:cs="Times New Roman"/>
        </w:rPr>
        <w:t>本文件及其所代替标准的历次版本发布情况为：</w:t>
      </w:r>
    </w:p>
    <w:p>
      <w:pPr>
        <w:pStyle w:val="23"/>
        <w:ind w:firstLine="440"/>
        <w:rPr>
          <w:rFonts w:hint="default" w:ascii="Times New Roman" w:hAnsi="Times New Roman" w:cs="Times New Roman"/>
        </w:rPr>
      </w:pPr>
      <w:r>
        <w:rPr>
          <w:rFonts w:hint="default" w:ascii="Times New Roman" w:hAnsi="Times New Roman" w:cs="Times New Roman"/>
          <w:color w:val="000000"/>
          <w:kern w:val="2"/>
          <w:sz w:val="22"/>
          <w:szCs w:val="22"/>
        </w:rPr>
        <w:t>——2020 年首次发布为 GB 38031—2020；</w:t>
      </w:r>
    </w:p>
    <w:p>
      <w:pPr>
        <w:pStyle w:val="23"/>
        <w:ind w:firstLine="440"/>
        <w:rPr>
          <w:rFonts w:hint="default" w:ascii="Times New Roman" w:hAnsi="Times New Roman" w:cs="Times New Roman"/>
        </w:rPr>
      </w:pPr>
      <w:r>
        <w:rPr>
          <w:rFonts w:hint="default" w:ascii="Times New Roman" w:hAnsi="Times New Roman" w:cs="Times New Roman"/>
          <w:color w:val="000000"/>
          <w:kern w:val="2"/>
          <w:sz w:val="22"/>
          <w:szCs w:val="22"/>
        </w:rPr>
        <w:t>——</w:t>
      </w:r>
      <w:r>
        <w:rPr>
          <w:rFonts w:hint="default" w:ascii="Times New Roman" w:hAnsi="Times New Roman" w:cs="Times New Roman"/>
        </w:rPr>
        <w:t>本次为第一次修订。</w:t>
      </w:r>
    </w:p>
    <w:p>
      <w:pPr>
        <w:pStyle w:val="112"/>
        <w:spacing w:before="480" w:after="480"/>
        <w:rPr>
          <w:rFonts w:ascii="Times New Roman"/>
        </w:rPr>
      </w:pPr>
      <w:bookmarkStart w:id="28" w:name="_Toc513234274"/>
      <w:bookmarkStart w:id="29" w:name="_Toc450682820"/>
      <w:r>
        <w:rPr>
          <w:rFonts w:ascii="Times New Roman"/>
        </w:rPr>
        <w:t>引</w:t>
      </w:r>
      <w:bookmarkStart w:id="30" w:name="BKYY"/>
      <w:r>
        <w:rPr>
          <w:rFonts w:ascii="Times New Roman"/>
        </w:rPr>
        <w:t>  言</w:t>
      </w:r>
      <w:bookmarkEnd w:id="28"/>
      <w:bookmarkEnd w:id="29"/>
      <w:bookmarkEnd w:id="30"/>
    </w:p>
    <w:p>
      <w:pPr>
        <w:pStyle w:val="23"/>
        <w:rPr>
          <w:rFonts w:ascii="Times New Roman"/>
        </w:rPr>
      </w:pPr>
      <w:r>
        <w:rPr>
          <w:rFonts w:ascii="Times New Roman"/>
        </w:rPr>
        <w:t>本</w:t>
      </w:r>
      <w:r>
        <w:rPr>
          <w:rFonts w:hint="eastAsia" w:ascii="Times New Roman"/>
        </w:rPr>
        <w:t>引言旨在介绍本文件的要求所依据的原则，理解这些原则对电动汽车用动力蓄电池单体、电池包或系统的设计和应用是很有必要的。需要注意的是本文件仅考虑电动汽车用动力蓄电池单体、电池包或系统最基本的安全要求以提供对人身及财产的安全保护，不涉及生产、运输、维护和</w:t>
      </w:r>
      <w:r>
        <w:rPr>
          <w:rFonts w:ascii="Times New Roman"/>
        </w:rPr>
        <w:t>回收</w:t>
      </w:r>
      <w:r>
        <w:rPr>
          <w:rFonts w:hint="eastAsia" w:ascii="Times New Roman"/>
        </w:rPr>
        <w:t>安全，也不涉及性能和功能特性。</w:t>
      </w:r>
    </w:p>
    <w:p>
      <w:pPr>
        <w:pStyle w:val="23"/>
        <w:rPr>
          <w:rFonts w:ascii="Times New Roman"/>
        </w:rPr>
      </w:pPr>
      <w:r>
        <w:rPr>
          <w:rFonts w:hint="eastAsia" w:ascii="Times New Roman"/>
        </w:rPr>
        <w:t>随着技术和工艺的进一步发展将会要求修订本文件。</w:t>
      </w:r>
    </w:p>
    <w:p>
      <w:pPr>
        <w:pStyle w:val="23"/>
        <w:rPr>
          <w:rFonts w:ascii="Times New Roman"/>
        </w:rPr>
      </w:pPr>
      <w:r>
        <w:rPr>
          <w:rFonts w:hint="eastAsia" w:ascii="Times New Roman"/>
        </w:rPr>
        <w:t>在本文件范围内电动汽车用动力蓄电池单体、电池包或系统导致的危险是指：</w:t>
      </w:r>
    </w:p>
    <w:p>
      <w:pPr>
        <w:pStyle w:val="23"/>
        <w:ind w:firstLine="440"/>
        <w:rPr>
          <w:rFonts w:ascii="Times New Roman"/>
        </w:rPr>
      </w:pPr>
      <w:r>
        <w:rPr>
          <w:rFonts w:ascii="Times New Roman"/>
          <w:color w:val="000000"/>
          <w:sz w:val="22"/>
          <w:szCs w:val="22"/>
        </w:rPr>
        <w:t>——</w:t>
      </w:r>
      <w:r>
        <w:rPr>
          <w:rFonts w:hint="eastAsia" w:ascii="Times New Roman"/>
        </w:rPr>
        <w:t>泄漏，可能导致</w:t>
      </w:r>
      <w:r>
        <w:rPr>
          <w:rFonts w:hint="eastAsia"/>
        </w:rPr>
        <w:t>电池</w:t>
      </w:r>
      <w:r>
        <w:t>系统</w:t>
      </w:r>
      <w:r>
        <w:rPr>
          <w:rFonts w:hint="eastAsia" w:ascii="Times New Roman"/>
        </w:rPr>
        <w:t>高压、绝缘失效间接造成</w:t>
      </w:r>
      <w:r>
        <w:rPr>
          <w:rFonts w:hint="eastAsia"/>
        </w:rPr>
        <w:t>人员</w:t>
      </w:r>
      <w:r>
        <w:rPr>
          <w:rFonts w:hint="eastAsia" w:ascii="Times New Roman"/>
        </w:rPr>
        <w:t>电击、</w:t>
      </w:r>
      <w:r>
        <w:rPr>
          <w:rFonts w:hint="eastAsia"/>
        </w:rPr>
        <w:t>电池</w:t>
      </w:r>
      <w:r>
        <w:t>系统</w:t>
      </w:r>
      <w:r>
        <w:rPr>
          <w:rFonts w:hint="eastAsia" w:ascii="Times New Roman"/>
        </w:rPr>
        <w:t>起火等危险；</w:t>
      </w:r>
    </w:p>
    <w:p>
      <w:pPr>
        <w:pStyle w:val="23"/>
        <w:ind w:firstLine="440"/>
        <w:rPr>
          <w:rFonts w:ascii="Times New Roman"/>
        </w:rPr>
      </w:pPr>
      <w:r>
        <w:rPr>
          <w:rFonts w:ascii="Times New Roman"/>
          <w:color w:val="000000"/>
          <w:sz w:val="22"/>
          <w:szCs w:val="22"/>
        </w:rPr>
        <w:t>——</w:t>
      </w:r>
      <w:r>
        <w:rPr>
          <w:rFonts w:hint="eastAsia" w:ascii="Times New Roman"/>
        </w:rPr>
        <w:t>起火，直接烧伤人体；</w:t>
      </w:r>
    </w:p>
    <w:p>
      <w:pPr>
        <w:pStyle w:val="23"/>
        <w:ind w:firstLine="440"/>
        <w:rPr>
          <w:rFonts w:ascii="Times New Roman"/>
        </w:rPr>
      </w:pPr>
      <w:r>
        <w:rPr>
          <w:rFonts w:ascii="Times New Roman"/>
          <w:color w:val="000000"/>
          <w:sz w:val="22"/>
          <w:szCs w:val="22"/>
        </w:rPr>
        <w:t>——</w:t>
      </w:r>
      <w:r>
        <w:rPr>
          <w:rFonts w:hint="eastAsia" w:ascii="Times New Roman"/>
        </w:rPr>
        <w:t>爆炸，直接危害人体，包括高温烧伤，冲击波伤害和爆炸碎片伤害等；</w:t>
      </w:r>
    </w:p>
    <w:p>
      <w:pPr>
        <w:pStyle w:val="23"/>
        <w:ind w:firstLine="440"/>
        <w:rPr>
          <w:rFonts w:ascii="Times New Roman"/>
        </w:rPr>
      </w:pPr>
      <w:r>
        <w:rPr>
          <w:rFonts w:ascii="Times New Roman"/>
          <w:color w:val="000000"/>
          <w:sz w:val="22"/>
          <w:szCs w:val="22"/>
        </w:rPr>
        <w:t>——</w:t>
      </w:r>
      <w:r>
        <w:rPr>
          <w:rFonts w:hint="eastAsia" w:ascii="Times New Roman"/>
        </w:rPr>
        <w:t>电击，由于电流流过人体而引起的伤害。</w:t>
      </w:r>
    </w:p>
    <w:p>
      <w:pPr>
        <w:pStyle w:val="23"/>
        <w:rPr>
          <w:rFonts w:ascii="Times New Roman"/>
        </w:rPr>
      </w:pPr>
      <w:r>
        <w:rPr>
          <w:rFonts w:hint="eastAsia" w:ascii="Times New Roman"/>
        </w:rPr>
        <w:t>电动汽车用动力蓄电池单体、电池包或系统的安全性与其材料选择、设计及使用条件有关。其中使用条件包含了正常使用条件、可预见的误用条件和可预见的故障条件，还包括影响其安全的环境条件诸如温度、海拔等因素。</w:t>
      </w:r>
    </w:p>
    <w:p>
      <w:pPr>
        <w:pStyle w:val="23"/>
        <w:ind w:firstLine="0" w:firstLineChars="0"/>
        <w:rPr>
          <w:rFonts w:ascii="Times New Roman"/>
        </w:rPr>
        <w:sectPr>
          <w:headerReference r:id="rId3" w:type="default"/>
          <w:footerReference r:id="rId4" w:type="default"/>
          <w:pgSz w:w="11906" w:h="16838"/>
          <w:pgMar w:top="567" w:right="1134" w:bottom="1134" w:left="1418" w:header="1418" w:footer="1134" w:gutter="0"/>
          <w:pgNumType w:fmt="upperRoman" w:start="1"/>
          <w:cols w:space="425" w:num="1"/>
          <w:formProt w:val="0"/>
          <w:docGrid w:type="lines" w:linePitch="312" w:charSpace="0"/>
        </w:sectPr>
      </w:pPr>
    </w:p>
    <w:p>
      <w:pPr>
        <w:pStyle w:val="50"/>
        <w:spacing w:before="480" w:after="480"/>
        <w:rPr>
          <w:rFonts w:ascii="Times New Roman"/>
        </w:rPr>
      </w:pPr>
      <w:bookmarkStart w:id="31" w:name="_Toc511045294"/>
      <w:bookmarkStart w:id="32" w:name="_Toc475375108"/>
      <w:bookmarkStart w:id="33" w:name="_Toc512454185"/>
      <w:bookmarkStart w:id="34" w:name="_Toc501358450"/>
      <w:bookmarkStart w:id="35" w:name="_Toc450682821"/>
      <w:bookmarkStart w:id="36" w:name="_Toc475194318"/>
      <w:bookmarkStart w:id="37" w:name="_Toc513234275"/>
      <w:bookmarkStart w:id="38" w:name="_Toc513232406"/>
      <w:bookmarkStart w:id="39" w:name="_Toc450729708"/>
      <w:bookmarkStart w:id="40" w:name="_Toc504059353"/>
      <w:bookmarkStart w:id="41" w:name="_Toc512347037"/>
      <w:bookmarkStart w:id="42" w:name="_Toc510644158"/>
      <w:r>
        <w:rPr>
          <w:rFonts w:ascii="Times New Roman"/>
        </w:rPr>
        <w:t>电动汽车用动力</w:t>
      </w:r>
      <w:r>
        <w:rPr>
          <w:rFonts w:hint="eastAsia" w:ascii="Times New Roman"/>
        </w:rPr>
        <w:t>蓄</w:t>
      </w:r>
      <w:r>
        <w:rPr>
          <w:rFonts w:ascii="Times New Roman"/>
        </w:rPr>
        <w:t>电池安全要求</w:t>
      </w:r>
      <w:bookmarkEnd w:id="31"/>
      <w:bookmarkEnd w:id="32"/>
      <w:bookmarkEnd w:id="33"/>
      <w:bookmarkEnd w:id="34"/>
      <w:bookmarkEnd w:id="35"/>
      <w:bookmarkEnd w:id="36"/>
      <w:bookmarkEnd w:id="37"/>
      <w:bookmarkEnd w:id="38"/>
      <w:bookmarkEnd w:id="39"/>
      <w:bookmarkEnd w:id="40"/>
      <w:bookmarkEnd w:id="41"/>
      <w:bookmarkEnd w:id="42"/>
    </w:p>
    <w:p>
      <w:pPr>
        <w:pStyle w:val="45"/>
        <w:spacing w:before="312" w:after="312"/>
        <w:rPr>
          <w:rFonts w:ascii="Times New Roman"/>
        </w:rPr>
      </w:pPr>
      <w:bookmarkStart w:id="43" w:name="_Toc513234276"/>
      <w:bookmarkStart w:id="44" w:name="_Toc450682822"/>
      <w:r>
        <w:rPr>
          <w:rFonts w:ascii="Times New Roman"/>
        </w:rPr>
        <w:t>范围</w:t>
      </w:r>
      <w:bookmarkEnd w:id="43"/>
      <w:bookmarkEnd w:id="44"/>
    </w:p>
    <w:p>
      <w:pPr>
        <w:pStyle w:val="23"/>
        <w:rPr>
          <w:rFonts w:ascii="Times New Roman"/>
          <w:color w:val="000000"/>
          <w:szCs w:val="21"/>
        </w:rPr>
      </w:pPr>
      <w:r>
        <w:rPr>
          <w:rFonts w:ascii="Times New Roman"/>
          <w:color w:val="000000"/>
          <w:szCs w:val="21"/>
        </w:rPr>
        <w:t>本文件规定了电动汽车用动力</w:t>
      </w:r>
      <w:r>
        <w:rPr>
          <w:rFonts w:hint="eastAsia" w:ascii="Times New Roman"/>
          <w:color w:val="000000"/>
          <w:szCs w:val="21"/>
        </w:rPr>
        <w:t>蓄</w:t>
      </w:r>
      <w:r>
        <w:rPr>
          <w:rFonts w:ascii="Times New Roman"/>
          <w:color w:val="000000"/>
          <w:szCs w:val="21"/>
        </w:rPr>
        <w:t>电池</w:t>
      </w:r>
      <w:r>
        <w:rPr>
          <w:rFonts w:hint="eastAsia" w:ascii="Times New Roman"/>
          <w:color w:val="000000"/>
          <w:szCs w:val="21"/>
        </w:rPr>
        <w:t>（以下简称电池）单体、电池包或系统的</w:t>
      </w:r>
      <w:r>
        <w:rPr>
          <w:rFonts w:ascii="Times New Roman"/>
          <w:color w:val="000000"/>
          <w:szCs w:val="21"/>
        </w:rPr>
        <w:t>安全要求和</w:t>
      </w:r>
      <w:r>
        <w:rPr>
          <w:rFonts w:hint="eastAsia" w:ascii="Times New Roman"/>
          <w:color w:val="000000"/>
          <w:szCs w:val="21"/>
        </w:rPr>
        <w:t>试验</w:t>
      </w:r>
      <w:r>
        <w:rPr>
          <w:rFonts w:ascii="Times New Roman"/>
          <w:color w:val="000000"/>
          <w:szCs w:val="21"/>
        </w:rPr>
        <w:t>方法。</w:t>
      </w:r>
    </w:p>
    <w:p>
      <w:pPr>
        <w:pStyle w:val="23"/>
        <w:rPr>
          <w:rFonts w:ascii="Times New Roman"/>
          <w:color w:val="000000"/>
          <w:szCs w:val="21"/>
        </w:rPr>
      </w:pPr>
      <w:r>
        <w:rPr>
          <w:rFonts w:ascii="Times New Roman"/>
          <w:color w:val="000000"/>
          <w:szCs w:val="21"/>
        </w:rPr>
        <w:t>本文件适用于</w:t>
      </w:r>
      <w:r>
        <w:rPr>
          <w:rFonts w:hint="eastAsia"/>
        </w:rPr>
        <w:t>电动汽车用动力蓄电池</w:t>
      </w:r>
      <w:r>
        <w:rPr>
          <w:rFonts w:hint="eastAsia" w:ascii="Times New Roman"/>
          <w:color w:val="000000"/>
          <w:szCs w:val="21"/>
        </w:rPr>
        <w:t>。</w:t>
      </w:r>
    </w:p>
    <w:p>
      <w:pPr>
        <w:pStyle w:val="45"/>
        <w:spacing w:before="312" w:after="312"/>
        <w:rPr>
          <w:rFonts w:ascii="Times New Roman"/>
        </w:rPr>
      </w:pPr>
      <w:bookmarkStart w:id="45" w:name="_Toc513234277"/>
      <w:bookmarkStart w:id="46" w:name="_Toc450682823"/>
      <w:r>
        <w:rPr>
          <w:rFonts w:ascii="Times New Roman"/>
        </w:rPr>
        <w:t>规范性引用文件</w:t>
      </w:r>
      <w:bookmarkEnd w:id="45"/>
      <w:bookmarkEnd w:id="46"/>
    </w:p>
    <w:p>
      <w:pPr>
        <w:pStyle w:val="23"/>
        <w:rPr>
          <w:rFonts w:ascii="Times New Roman"/>
          <w:color w:val="000000"/>
          <w:szCs w:val="21"/>
        </w:rPr>
      </w:pPr>
      <w:r>
        <w:rPr>
          <w:rFonts w:ascii="Times New Roman"/>
          <w:color w:val="000000"/>
          <w:szCs w:val="21"/>
        </w:rPr>
        <w:t>下列文件对于本文件的应用是必不可少的。凡是注日期的引用文件，仅注日期的版本适用于本文件。凡是不注日期的引用文件，其最新版本（包括所有的修改单）适用于本文件。</w:t>
      </w:r>
    </w:p>
    <w:p>
      <w:pPr>
        <w:pStyle w:val="23"/>
        <w:rPr>
          <w:rFonts w:ascii="Times New Roman"/>
          <w:color w:val="000000"/>
          <w:szCs w:val="21"/>
        </w:rPr>
      </w:pPr>
      <w:r>
        <w:rPr>
          <w:rFonts w:hint="eastAsia" w:ascii="Times New Roman"/>
        </w:rPr>
        <w:t xml:space="preserve">GB/T 2423.4 </w:t>
      </w:r>
      <w:r>
        <w:rPr>
          <w:rFonts w:ascii="Times New Roman"/>
          <w:color w:val="000000"/>
          <w:szCs w:val="21"/>
        </w:rPr>
        <w:t>电工电子产品环境试验 第2部分：试验方法 试验Db 交变湿热（12h＋12h循环）</w:t>
      </w:r>
    </w:p>
    <w:p>
      <w:pPr>
        <w:pStyle w:val="23"/>
        <w:rPr>
          <w:rFonts w:ascii="Times New Roman"/>
        </w:rPr>
      </w:pPr>
      <w:r>
        <w:rPr>
          <w:rFonts w:ascii="Times New Roman" w:eastAsiaTheme="minorEastAsia"/>
        </w:rPr>
        <w:t>GB/T</w:t>
      </w:r>
      <w:r>
        <w:rPr>
          <w:rFonts w:hint="eastAsia" w:ascii="Times New Roman" w:eastAsiaTheme="minorEastAsia"/>
        </w:rPr>
        <w:t xml:space="preserve"> </w:t>
      </w:r>
      <w:r>
        <w:rPr>
          <w:rFonts w:ascii="Times New Roman" w:eastAsiaTheme="minorEastAsia"/>
        </w:rPr>
        <w:t>2423.17</w:t>
      </w:r>
      <w:r>
        <w:rPr>
          <w:rFonts w:hint="eastAsia" w:ascii="Times New Roman" w:eastAsiaTheme="minorEastAsia"/>
        </w:rPr>
        <w:t xml:space="preserve"> </w:t>
      </w:r>
      <w:r>
        <w:rPr>
          <w:rFonts w:ascii="Times New Roman"/>
          <w:color w:val="000000"/>
          <w:szCs w:val="21"/>
        </w:rPr>
        <w:t>电工电子产品环境试验 第2部分</w:t>
      </w:r>
      <w:r>
        <w:rPr>
          <w:rFonts w:hint="eastAsia" w:ascii="Times New Roman"/>
          <w:color w:val="000000"/>
          <w:szCs w:val="21"/>
        </w:rPr>
        <w:t>：</w:t>
      </w:r>
      <w:r>
        <w:rPr>
          <w:rFonts w:ascii="Times New Roman"/>
          <w:color w:val="000000"/>
          <w:szCs w:val="21"/>
        </w:rPr>
        <w:t>试验方法 试验Ka：盐雾</w:t>
      </w:r>
    </w:p>
    <w:p>
      <w:pPr>
        <w:pStyle w:val="23"/>
        <w:rPr>
          <w:rFonts w:ascii="Times New Roman"/>
          <w:color w:val="000000"/>
          <w:szCs w:val="21"/>
        </w:rPr>
      </w:pPr>
      <w:r>
        <w:rPr>
          <w:rFonts w:hint="eastAsia" w:ascii="Times New Roman" w:eastAsiaTheme="minorEastAsia"/>
          <w:color w:val="000000"/>
          <w:kern w:val="24"/>
        </w:rPr>
        <w:t xml:space="preserve">GB/T 2423.43 </w:t>
      </w:r>
      <w:r>
        <w:rPr>
          <w:rFonts w:ascii="Times New Roman"/>
          <w:color w:val="000000"/>
          <w:szCs w:val="21"/>
        </w:rPr>
        <w:t>电工电子产品环境试验 第2部分：试验方法 振动、冲击和类似动力学试验样品的安装</w:t>
      </w:r>
    </w:p>
    <w:p>
      <w:pPr>
        <w:pStyle w:val="23"/>
        <w:rPr>
          <w:rFonts w:ascii="Times New Roman"/>
          <w:color w:val="000000"/>
          <w:szCs w:val="21"/>
        </w:rPr>
      </w:pPr>
      <w:r>
        <w:rPr>
          <w:rFonts w:hint="eastAsia" w:ascii="Times New Roman" w:eastAsiaTheme="minorEastAsia"/>
          <w:color w:val="000000"/>
          <w:kern w:val="24"/>
        </w:rPr>
        <w:t xml:space="preserve">GB/T 2423.56 </w:t>
      </w:r>
      <w:r>
        <w:rPr>
          <w:rFonts w:ascii="Times New Roman"/>
          <w:color w:val="000000"/>
          <w:szCs w:val="21"/>
        </w:rPr>
        <w:t>电工电子产品环境试验 第2部分：</w:t>
      </w:r>
      <w:r>
        <w:rPr>
          <w:color w:val="000000"/>
          <w:szCs w:val="21"/>
        </w:rPr>
        <w:t>试验方法 试验Fh：宽带随机振动</w:t>
      </w:r>
      <w:r>
        <w:rPr>
          <w:rFonts w:hint="eastAsia"/>
          <w:color w:val="000000"/>
          <w:szCs w:val="21"/>
        </w:rPr>
        <w:t>和导则</w:t>
      </w:r>
    </w:p>
    <w:p>
      <w:pPr>
        <w:pStyle w:val="23"/>
        <w:rPr>
          <w:rFonts w:ascii="Times New Roman"/>
          <w:color w:val="000000"/>
          <w:szCs w:val="21"/>
        </w:rPr>
      </w:pPr>
      <w:r>
        <w:rPr>
          <w:rFonts w:hint="eastAsia" w:ascii="Times New Roman"/>
          <w:color w:val="000000"/>
          <w:szCs w:val="21"/>
        </w:rPr>
        <w:t>GB/T 4208</w:t>
      </w:r>
      <w:r>
        <w:rPr>
          <w:rFonts w:hint="eastAsia" w:ascii="Times New Roman"/>
        </w:rPr>
        <w:t>—</w:t>
      </w:r>
      <w:r>
        <w:rPr>
          <w:rFonts w:hint="eastAsia" w:ascii="Times New Roman"/>
          <w:color w:val="000000"/>
          <w:szCs w:val="21"/>
        </w:rPr>
        <w:t xml:space="preserve">2017 </w:t>
      </w:r>
      <w:r>
        <w:rPr>
          <w:rFonts w:ascii="Times New Roman"/>
          <w:color w:val="000000"/>
          <w:szCs w:val="21"/>
        </w:rPr>
        <w:t>外壳防护等级（IP代码）</w:t>
      </w:r>
    </w:p>
    <w:p>
      <w:pPr>
        <w:pStyle w:val="23"/>
        <w:rPr>
          <w:rFonts w:ascii="Times New Roman"/>
          <w:color w:val="000000"/>
          <w:szCs w:val="21"/>
        </w:rPr>
      </w:pPr>
      <w:r>
        <w:rPr>
          <w:rFonts w:hint="eastAsia" w:ascii="Times New Roman"/>
          <w:color w:val="000000"/>
          <w:szCs w:val="21"/>
        </w:rPr>
        <w:t>GB/T 19596 电动汽车术语</w:t>
      </w:r>
    </w:p>
    <w:p>
      <w:pPr>
        <w:pStyle w:val="23"/>
      </w:pPr>
      <w:r>
        <w:rPr>
          <w:rFonts w:ascii="Times New Roman"/>
          <w:color w:val="000000"/>
          <w:szCs w:val="21"/>
        </w:rPr>
        <w:t>GB/T</w:t>
      </w:r>
      <w:r>
        <w:rPr>
          <w:rFonts w:hint="eastAsia" w:ascii="Times New Roman"/>
          <w:color w:val="000000"/>
          <w:szCs w:val="21"/>
        </w:rPr>
        <w:t xml:space="preserve"> </w:t>
      </w:r>
      <w:r>
        <w:rPr>
          <w:rFonts w:ascii="Times New Roman"/>
          <w:color w:val="000000"/>
          <w:szCs w:val="21"/>
        </w:rPr>
        <w:t>28046.4</w:t>
      </w:r>
      <w:r>
        <w:rPr>
          <w:rFonts w:hint="eastAsia" w:ascii="Times New Roman"/>
          <w:color w:val="000000"/>
          <w:szCs w:val="21"/>
        </w:rPr>
        <w:t>—</w:t>
      </w:r>
      <w:r>
        <w:rPr>
          <w:rFonts w:ascii="Times New Roman"/>
          <w:color w:val="000000"/>
          <w:szCs w:val="21"/>
        </w:rPr>
        <w:t>2011</w:t>
      </w:r>
      <w:r>
        <w:rPr>
          <w:rFonts w:hint="eastAsia"/>
        </w:rPr>
        <w:t xml:space="preserve">  </w:t>
      </w:r>
      <w:r>
        <w:t xml:space="preserve">道路车辆 电气及电子设备的环境条件和试验 </w:t>
      </w:r>
      <w:r>
        <w:rPr>
          <w:rFonts w:hint="eastAsia"/>
        </w:rPr>
        <w:t xml:space="preserve"> </w:t>
      </w:r>
      <w:r>
        <w:t>第4部分：气候负荷</w:t>
      </w:r>
    </w:p>
    <w:p>
      <w:pPr>
        <w:pStyle w:val="45"/>
        <w:spacing w:before="312" w:after="312"/>
        <w:rPr>
          <w:rFonts w:ascii="Times New Roman"/>
        </w:rPr>
      </w:pPr>
      <w:bookmarkStart w:id="47" w:name="_Toc450682824"/>
      <w:bookmarkStart w:id="48" w:name="_Toc513234278"/>
      <w:r>
        <w:rPr>
          <w:rFonts w:ascii="Times New Roman"/>
        </w:rPr>
        <w:t>术语</w:t>
      </w:r>
      <w:r>
        <w:rPr>
          <w:rFonts w:hint="eastAsia" w:ascii="Times New Roman"/>
        </w:rPr>
        <w:t>和</w:t>
      </w:r>
      <w:r>
        <w:rPr>
          <w:rFonts w:ascii="Times New Roman"/>
        </w:rPr>
        <w:t>定义</w:t>
      </w:r>
      <w:bookmarkEnd w:id="47"/>
      <w:bookmarkEnd w:id="48"/>
    </w:p>
    <w:p>
      <w:pPr>
        <w:pStyle w:val="23"/>
        <w:rPr>
          <w:rFonts w:ascii="Times New Roman"/>
          <w:color w:val="000000"/>
          <w:szCs w:val="21"/>
        </w:rPr>
      </w:pPr>
      <w:bookmarkStart w:id="49" w:name="_Toc450682825"/>
      <w:bookmarkStart w:id="50" w:name="_Toc450729712"/>
      <w:r>
        <w:rPr>
          <w:rFonts w:hint="eastAsia" w:ascii="Times New Roman"/>
          <w:color w:val="000000"/>
          <w:szCs w:val="21"/>
        </w:rPr>
        <w:t>GB/T 19596界定的以及</w:t>
      </w:r>
      <w:r>
        <w:rPr>
          <w:rFonts w:ascii="Times New Roman"/>
          <w:color w:val="000000"/>
          <w:szCs w:val="21"/>
        </w:rPr>
        <w:t>下列术语和定义适用于本文件</w:t>
      </w:r>
      <w:bookmarkEnd w:id="49"/>
      <w:bookmarkEnd w:id="50"/>
      <w:r>
        <w:rPr>
          <w:rFonts w:hint="eastAsia" w:ascii="Times New Roman"/>
          <w:color w:val="000000"/>
          <w:szCs w:val="21"/>
        </w:rPr>
        <w:t>。</w:t>
      </w:r>
    </w:p>
    <w:p>
      <w:pPr>
        <w:pStyle w:val="42"/>
        <w:spacing w:before="156" w:after="156"/>
        <w:ind w:left="0"/>
        <w:rPr>
          <w:rFonts w:ascii="Times New Roman" w:eastAsia="宋体"/>
        </w:rPr>
      </w:pPr>
      <w:bookmarkStart w:id="51" w:name="_Toc512454189"/>
      <w:bookmarkEnd w:id="51"/>
      <w:bookmarkStart w:id="52" w:name="_Toc512347041"/>
      <w:bookmarkEnd w:id="52"/>
      <w:bookmarkStart w:id="53" w:name="_Toc510644162"/>
      <w:bookmarkEnd w:id="53"/>
      <w:bookmarkStart w:id="54" w:name="_Toc511831636"/>
      <w:bookmarkEnd w:id="54"/>
      <w:bookmarkStart w:id="55" w:name="_Toc513232410"/>
      <w:bookmarkEnd w:id="55"/>
      <w:bookmarkStart w:id="56" w:name="_Toc504059357"/>
      <w:bookmarkEnd w:id="56"/>
      <w:bookmarkStart w:id="57" w:name="_Toc511045298"/>
      <w:bookmarkEnd w:id="57"/>
      <w:bookmarkStart w:id="58" w:name="_Toc513234279"/>
      <w:bookmarkEnd w:id="58"/>
      <w:bookmarkStart w:id="59" w:name="_Toc495431162"/>
      <w:bookmarkStart w:id="60" w:name="_Toc450729713"/>
      <w:bookmarkStart w:id="61" w:name="_Toc450838115"/>
      <w:bookmarkStart w:id="62" w:name="_Toc467526532"/>
      <w:bookmarkStart w:id="63" w:name="_Toc475194322"/>
      <w:bookmarkStart w:id="64" w:name="_Toc478328977"/>
      <w:bookmarkStart w:id="65" w:name="_Toc450682826"/>
      <w:bookmarkStart w:id="66" w:name="_Toc451590762"/>
      <w:bookmarkStart w:id="67" w:name="_Toc452758304"/>
      <w:bookmarkStart w:id="68" w:name="_Toc501358454"/>
      <w:bookmarkStart w:id="69" w:name="_Toc450835476"/>
      <w:bookmarkStart w:id="70" w:name="_Toc468718253"/>
      <w:bookmarkStart w:id="71" w:name="_Toc475375112"/>
      <w:bookmarkStart w:id="72" w:name="_Toc450836267"/>
      <w:bookmarkStart w:id="73" w:name="_Toc477502323"/>
      <w:bookmarkStart w:id="74" w:name="_Toc478411912"/>
      <w:bookmarkStart w:id="75" w:name="_Toc476948643"/>
      <w:bookmarkStart w:id="76" w:name="_Toc450838564"/>
      <w:bookmarkStart w:id="77" w:name="_Toc467693307"/>
      <w:bookmarkStart w:id="78" w:name="_Toc450851949"/>
      <w:bookmarkStart w:id="79" w:name="_Toc452752553"/>
      <w:bookmarkStart w:id="80" w:name="_Toc477465946"/>
      <w:bookmarkStart w:id="81" w:name="_Toc497749517"/>
      <w:bookmarkStart w:id="82" w:name="_Toc477380559"/>
      <w:bookmarkStart w:id="83" w:name="_Toc467074896"/>
      <w:bookmarkStart w:id="84" w:name="_Toc491440221"/>
    </w:p>
    <w:p>
      <w:pPr>
        <w:pStyle w:val="42"/>
        <w:numPr>
          <w:ilvl w:val="0"/>
          <w:numId w:val="0"/>
        </w:numPr>
        <w:spacing w:before="156" w:after="156"/>
        <w:ind w:firstLine="420" w:firstLineChars="200"/>
        <w:rPr>
          <w:rFonts w:hAnsi="黑体"/>
        </w:rPr>
      </w:pPr>
      <w:bookmarkStart w:id="85" w:name="_Toc510644163"/>
      <w:bookmarkStart w:id="86" w:name="_Toc513234280"/>
      <w:bookmarkStart w:id="87" w:name="_Toc513232411"/>
      <w:bookmarkStart w:id="88" w:name="_Toc511045299"/>
      <w:bookmarkStart w:id="89" w:name="_Toc511831637"/>
      <w:bookmarkStart w:id="90" w:name="_Toc512347042"/>
      <w:bookmarkStart w:id="91" w:name="_Toc512454190"/>
      <w:bookmarkStart w:id="92" w:name="_Toc504059358"/>
      <w:r>
        <w:rPr>
          <w:rFonts w:hAnsi="黑体"/>
        </w:rPr>
        <w:t>电池</w:t>
      </w:r>
      <w:r>
        <w:rPr>
          <w:rFonts w:hint="eastAsia" w:hAnsi="黑体"/>
        </w:rPr>
        <w:t>单体</w:t>
      </w:r>
      <w:r>
        <w:rPr>
          <w:rFonts w:ascii="Times New Roman"/>
        </w:rPr>
        <w:t xml:space="preserve"> </w:t>
      </w:r>
      <w:r>
        <w:rPr>
          <w:rFonts w:hint="eastAsia" w:ascii="Times New Roman"/>
        </w:rPr>
        <w:t>battery</w:t>
      </w:r>
      <w:r>
        <w:rPr>
          <w:rFonts w:ascii="Times New Roman"/>
        </w:rPr>
        <w:t xml:space="preserve"> cell</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23"/>
      </w:pPr>
      <w:bookmarkStart w:id="93" w:name="_Toc450729714"/>
      <w:bookmarkStart w:id="94" w:name="_Toc450682827"/>
      <w:r>
        <w:rPr>
          <w:rFonts w:hint="eastAsia"/>
        </w:rPr>
        <w:t>将</w:t>
      </w:r>
      <w:r>
        <w:t>化学能与电能</w:t>
      </w:r>
      <w:r>
        <w:rPr>
          <w:rFonts w:hint="eastAsia"/>
        </w:rPr>
        <w:t>进行</w:t>
      </w:r>
      <w:r>
        <w:t>相互转换</w:t>
      </w:r>
      <w:r>
        <w:rPr>
          <w:rFonts w:hint="eastAsia"/>
        </w:rPr>
        <w:t>的</w:t>
      </w:r>
      <w:r>
        <w:t>基本单元</w:t>
      </w:r>
      <w:r>
        <w:rPr>
          <w:rFonts w:hint="eastAsia"/>
        </w:rPr>
        <w:t>装置。</w:t>
      </w:r>
    </w:p>
    <w:p>
      <w:pPr>
        <w:pStyle w:val="23"/>
        <w:ind w:firstLine="360"/>
        <w:rPr>
          <w:rFonts w:ascii="Times New Roman"/>
        </w:rPr>
      </w:pPr>
      <w:r>
        <w:rPr>
          <w:rFonts w:hint="eastAsia" w:ascii="黑体" w:hAnsi="黑体" w:eastAsia="黑体"/>
          <w:sz w:val="18"/>
          <w:szCs w:val="18"/>
        </w:rPr>
        <w:t>注：</w:t>
      </w:r>
      <w:r>
        <w:rPr>
          <w:rFonts w:hint="eastAsia" w:ascii="Times New Roman"/>
          <w:sz w:val="18"/>
          <w:szCs w:val="18"/>
        </w:rPr>
        <w:t>通常</w:t>
      </w:r>
      <w:r>
        <w:rPr>
          <w:rFonts w:ascii="Times New Roman"/>
          <w:sz w:val="18"/>
          <w:szCs w:val="18"/>
        </w:rPr>
        <w:t>包括</w:t>
      </w:r>
      <w:r>
        <w:rPr>
          <w:rFonts w:hint="eastAsia" w:ascii="Times New Roman"/>
          <w:sz w:val="18"/>
          <w:szCs w:val="18"/>
        </w:rPr>
        <w:t>电极</w:t>
      </w:r>
      <w:r>
        <w:rPr>
          <w:rFonts w:ascii="Times New Roman"/>
          <w:sz w:val="18"/>
          <w:szCs w:val="18"/>
        </w:rPr>
        <w:t>、</w:t>
      </w:r>
      <w:r>
        <w:rPr>
          <w:rFonts w:hint="eastAsia" w:ascii="Times New Roman"/>
          <w:sz w:val="18"/>
          <w:szCs w:val="18"/>
        </w:rPr>
        <w:t>隔膜</w:t>
      </w:r>
      <w:r>
        <w:rPr>
          <w:rFonts w:ascii="Times New Roman"/>
          <w:sz w:val="18"/>
          <w:szCs w:val="18"/>
        </w:rPr>
        <w:t>、</w:t>
      </w:r>
      <w:r>
        <w:rPr>
          <w:rFonts w:hint="eastAsia" w:ascii="Times New Roman"/>
          <w:sz w:val="18"/>
          <w:szCs w:val="18"/>
        </w:rPr>
        <w:t>电解质、</w:t>
      </w:r>
      <w:r>
        <w:rPr>
          <w:rFonts w:ascii="Times New Roman"/>
          <w:sz w:val="18"/>
          <w:szCs w:val="18"/>
        </w:rPr>
        <w:t>外壳和端子</w:t>
      </w:r>
      <w:r>
        <w:rPr>
          <w:rFonts w:hint="eastAsia" w:ascii="Times New Roman"/>
          <w:sz w:val="18"/>
          <w:szCs w:val="18"/>
        </w:rPr>
        <w:t>，</w:t>
      </w:r>
      <w:r>
        <w:rPr>
          <w:rFonts w:ascii="Times New Roman"/>
          <w:sz w:val="18"/>
          <w:szCs w:val="18"/>
        </w:rPr>
        <w:t>并被设计成可充电</w:t>
      </w:r>
      <w:bookmarkEnd w:id="93"/>
      <w:bookmarkEnd w:id="94"/>
      <w:bookmarkStart w:id="95" w:name="_Toc450682828"/>
      <w:bookmarkStart w:id="96" w:name="_Toc450729715"/>
      <w:r>
        <w:rPr>
          <w:rFonts w:hint="eastAsia" w:ascii="Times New Roman"/>
          <w:sz w:val="18"/>
          <w:szCs w:val="18"/>
        </w:rPr>
        <w:t>。</w:t>
      </w:r>
      <w:bookmarkEnd w:id="95"/>
      <w:bookmarkEnd w:id="96"/>
    </w:p>
    <w:p>
      <w:pPr>
        <w:pStyle w:val="42"/>
        <w:spacing w:before="156" w:after="156"/>
        <w:ind w:left="0"/>
        <w:rPr>
          <w:rFonts w:ascii="Times New Roman" w:eastAsia="宋体"/>
        </w:rPr>
      </w:pPr>
      <w:bookmarkStart w:id="97" w:name="_Toc513232412"/>
      <w:bookmarkEnd w:id="97"/>
      <w:bookmarkStart w:id="98" w:name="_Toc512347043"/>
      <w:bookmarkEnd w:id="98"/>
      <w:bookmarkStart w:id="99" w:name="_Toc511045300"/>
      <w:bookmarkEnd w:id="99"/>
      <w:bookmarkStart w:id="100" w:name="_Toc511831638"/>
      <w:bookmarkEnd w:id="100"/>
      <w:bookmarkStart w:id="101" w:name="_Toc512454191"/>
      <w:bookmarkEnd w:id="101"/>
      <w:bookmarkStart w:id="102" w:name="_Toc513234281"/>
      <w:bookmarkEnd w:id="102"/>
      <w:bookmarkStart w:id="103" w:name="_Toc510644164"/>
      <w:bookmarkEnd w:id="103"/>
      <w:bookmarkStart w:id="104" w:name="_Toc504059359"/>
      <w:bookmarkEnd w:id="104"/>
      <w:bookmarkStart w:id="105" w:name="_Toc501358455"/>
    </w:p>
    <w:p>
      <w:pPr>
        <w:pStyle w:val="42"/>
        <w:numPr>
          <w:ilvl w:val="0"/>
          <w:numId w:val="0"/>
        </w:numPr>
        <w:spacing w:before="156" w:after="156"/>
        <w:ind w:firstLine="420" w:firstLineChars="200"/>
        <w:rPr>
          <w:rFonts w:hAnsi="黑体"/>
        </w:rPr>
      </w:pPr>
      <w:bookmarkStart w:id="106" w:name="_Toc504059360"/>
      <w:bookmarkStart w:id="107" w:name="_Toc512347044"/>
      <w:bookmarkStart w:id="108" w:name="_Toc513232413"/>
      <w:bookmarkStart w:id="109" w:name="_Toc511831639"/>
      <w:bookmarkStart w:id="110" w:name="_Toc510644165"/>
      <w:bookmarkStart w:id="111" w:name="_Toc513234282"/>
      <w:bookmarkStart w:id="112" w:name="_Toc512454192"/>
      <w:bookmarkStart w:id="113" w:name="_Toc511045301"/>
      <w:r>
        <w:rPr>
          <w:rFonts w:hint="eastAsia" w:hAnsi="黑体"/>
        </w:rPr>
        <w:t>电池模块</w:t>
      </w:r>
      <w:r>
        <w:rPr>
          <w:rFonts w:hAnsi="黑体"/>
        </w:rPr>
        <w:t xml:space="preserve"> </w:t>
      </w:r>
      <w:r>
        <w:rPr>
          <w:rFonts w:ascii="Times New Roman"/>
        </w:rPr>
        <w:t xml:space="preserve">battery </w:t>
      </w:r>
      <w:bookmarkEnd w:id="105"/>
      <w:bookmarkEnd w:id="106"/>
      <w:r>
        <w:rPr>
          <w:rFonts w:ascii="Times New Roman"/>
        </w:rPr>
        <w:t>module</w:t>
      </w:r>
      <w:bookmarkEnd w:id="107"/>
      <w:bookmarkEnd w:id="108"/>
      <w:bookmarkEnd w:id="109"/>
      <w:bookmarkEnd w:id="110"/>
      <w:bookmarkEnd w:id="111"/>
      <w:bookmarkEnd w:id="112"/>
      <w:bookmarkEnd w:id="113"/>
    </w:p>
    <w:p>
      <w:pPr>
        <w:pStyle w:val="23"/>
        <w:rPr>
          <w:rFonts w:ascii="Times New Roman"/>
        </w:rPr>
      </w:pPr>
      <w:r>
        <w:rPr>
          <w:rFonts w:hint="eastAsia" w:ascii="Times New Roman"/>
        </w:rPr>
        <w:t>将一个</w:t>
      </w:r>
      <w:r>
        <w:rPr>
          <w:rFonts w:ascii="Times New Roman"/>
        </w:rPr>
        <w:t>以上电池单体</w:t>
      </w:r>
      <w:r>
        <w:rPr>
          <w:rFonts w:hint="eastAsia" w:ascii="Times New Roman"/>
        </w:rPr>
        <w:t>按照</w:t>
      </w:r>
      <w:r>
        <w:rPr>
          <w:rFonts w:ascii="Times New Roman"/>
        </w:rPr>
        <w:t>串联、</w:t>
      </w:r>
      <w:r>
        <w:rPr>
          <w:rFonts w:hint="eastAsia" w:ascii="Times New Roman"/>
        </w:rPr>
        <w:t>并联</w:t>
      </w:r>
      <w:r>
        <w:rPr>
          <w:rFonts w:ascii="Times New Roman"/>
        </w:rPr>
        <w:t>或</w:t>
      </w:r>
      <w:r>
        <w:rPr>
          <w:rFonts w:hint="eastAsia" w:ascii="Times New Roman"/>
        </w:rPr>
        <w:t>串并联方式</w:t>
      </w:r>
      <w:r>
        <w:rPr>
          <w:rFonts w:ascii="Times New Roman"/>
        </w:rPr>
        <w:t>组合</w:t>
      </w:r>
      <w:r>
        <w:rPr>
          <w:rFonts w:hint="eastAsia" w:ascii="Times New Roman"/>
        </w:rPr>
        <w:t>，</w:t>
      </w:r>
      <w:r>
        <w:rPr>
          <w:rFonts w:ascii="Times New Roman"/>
        </w:rPr>
        <w:t>并作为</w:t>
      </w:r>
      <w:r>
        <w:rPr>
          <w:rFonts w:hint="eastAsia" w:ascii="Times New Roman"/>
        </w:rPr>
        <w:t>电源</w:t>
      </w:r>
      <w:r>
        <w:rPr>
          <w:rFonts w:ascii="Times New Roman"/>
        </w:rPr>
        <w:t>使用的组合</w:t>
      </w:r>
      <w:r>
        <w:rPr>
          <w:rFonts w:hint="eastAsia" w:ascii="Times New Roman"/>
        </w:rPr>
        <w:t>体。</w:t>
      </w:r>
      <w:bookmarkStart w:id="114" w:name="_Toc504059361"/>
      <w:bookmarkEnd w:id="114"/>
      <w:bookmarkStart w:id="115" w:name="_Toc450838118"/>
      <w:bookmarkStart w:id="116" w:name="_Toc476948645"/>
      <w:bookmarkStart w:id="117" w:name="_Toc450835479"/>
      <w:bookmarkStart w:id="118" w:name="_Toc497749518"/>
      <w:bookmarkStart w:id="119" w:name="_Toc478328979"/>
      <w:bookmarkStart w:id="120" w:name="_Toc450729720"/>
      <w:bookmarkStart w:id="121" w:name="_Toc491440222"/>
      <w:bookmarkStart w:id="122" w:name="_Toc477502325"/>
      <w:bookmarkStart w:id="123" w:name="_Toc477380561"/>
      <w:bookmarkStart w:id="124" w:name="_Toc478411914"/>
      <w:bookmarkStart w:id="125" w:name="_Toc495431163"/>
      <w:bookmarkStart w:id="126" w:name="_Toc477465948"/>
      <w:bookmarkStart w:id="127" w:name="_Toc467071561"/>
      <w:bookmarkStart w:id="128" w:name="_Toc468729472"/>
      <w:bookmarkStart w:id="129" w:name="_Toc451590765"/>
      <w:bookmarkStart w:id="130" w:name="_Toc450682833"/>
      <w:bookmarkStart w:id="131" w:name="_Toc450851952"/>
      <w:bookmarkStart w:id="132" w:name="_Toc450836270"/>
      <w:bookmarkStart w:id="133" w:name="_Toc452758307"/>
      <w:bookmarkStart w:id="134" w:name="_Toc467700665"/>
      <w:bookmarkStart w:id="135" w:name="_Toc450838567"/>
      <w:bookmarkStart w:id="136" w:name="_Toc467527325"/>
      <w:bookmarkStart w:id="137" w:name="_Toc452752556"/>
    </w:p>
    <w:p>
      <w:pPr>
        <w:pStyle w:val="42"/>
        <w:spacing w:before="156" w:after="156"/>
        <w:ind w:left="0"/>
        <w:rPr>
          <w:rFonts w:ascii="Times New Roman" w:eastAsia="宋体"/>
        </w:rPr>
      </w:pPr>
      <w:bookmarkStart w:id="138" w:name="_Toc510644166"/>
      <w:bookmarkEnd w:id="138"/>
      <w:bookmarkStart w:id="139" w:name="_Toc512454193"/>
      <w:bookmarkEnd w:id="139"/>
      <w:bookmarkStart w:id="140" w:name="_Toc512347045"/>
      <w:bookmarkEnd w:id="140"/>
      <w:bookmarkStart w:id="141" w:name="_Toc504059363"/>
      <w:bookmarkEnd w:id="141"/>
      <w:bookmarkStart w:id="142" w:name="_Toc511045302"/>
      <w:bookmarkEnd w:id="142"/>
      <w:bookmarkStart w:id="143" w:name="_Toc513232414"/>
      <w:bookmarkEnd w:id="143"/>
      <w:bookmarkStart w:id="144" w:name="_Toc511831640"/>
      <w:bookmarkEnd w:id="144"/>
      <w:bookmarkStart w:id="145" w:name="_Toc513234283"/>
      <w:bookmarkEnd w:id="145"/>
      <w:bookmarkStart w:id="146" w:name="_Toc501358456"/>
    </w:p>
    <w:p>
      <w:pPr>
        <w:pStyle w:val="42"/>
        <w:numPr>
          <w:ilvl w:val="0"/>
          <w:numId w:val="0"/>
        </w:numPr>
        <w:spacing w:before="156" w:after="156"/>
        <w:ind w:firstLine="420" w:firstLineChars="200"/>
        <w:rPr>
          <w:rFonts w:hAnsi="黑体"/>
        </w:rPr>
      </w:pPr>
      <w:bookmarkStart w:id="147" w:name="_Toc504059364"/>
      <w:bookmarkStart w:id="148" w:name="_Toc512454194"/>
      <w:bookmarkStart w:id="149" w:name="_Toc511831641"/>
      <w:bookmarkStart w:id="150" w:name="_Toc511045303"/>
      <w:bookmarkStart w:id="151" w:name="_Toc513234284"/>
      <w:bookmarkStart w:id="152" w:name="_Toc510644167"/>
      <w:bookmarkStart w:id="153" w:name="_Toc512347046"/>
      <w:bookmarkStart w:id="154" w:name="_Toc513232415"/>
      <w:r>
        <w:rPr>
          <w:rFonts w:hint="eastAsia" w:hAnsi="黑体"/>
        </w:rPr>
        <w:t xml:space="preserve">电池包 </w:t>
      </w:r>
      <w:r>
        <w:rPr>
          <w:rFonts w:ascii="Times New Roman"/>
        </w:rPr>
        <w:t>battery pack</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6"/>
      <w:bookmarkEnd w:id="147"/>
      <w:bookmarkEnd w:id="148"/>
      <w:bookmarkEnd w:id="149"/>
      <w:bookmarkEnd w:id="150"/>
      <w:bookmarkEnd w:id="151"/>
      <w:bookmarkEnd w:id="152"/>
      <w:bookmarkEnd w:id="153"/>
      <w:bookmarkEnd w:id="154"/>
    </w:p>
    <w:p>
      <w:pPr>
        <w:pStyle w:val="23"/>
        <w:rPr>
          <w:rFonts w:ascii="Times New Roman"/>
        </w:rPr>
      </w:pPr>
      <w:bookmarkStart w:id="155" w:name="_Toc450729721"/>
      <w:bookmarkStart w:id="156" w:name="_Toc450682834"/>
      <w:r>
        <w:rPr>
          <w:rFonts w:hint="eastAsia" w:ascii="Times New Roman"/>
        </w:rPr>
        <w:t>具有从外部获得电能并可对外输出电能的单元。</w:t>
      </w:r>
      <w:bookmarkEnd w:id="155"/>
      <w:bookmarkEnd w:id="156"/>
    </w:p>
    <w:p>
      <w:pPr>
        <w:pStyle w:val="23"/>
        <w:ind w:firstLine="360"/>
        <w:rPr>
          <w:rFonts w:ascii="Times New Roman"/>
        </w:rPr>
      </w:pPr>
      <w:r>
        <w:rPr>
          <w:rFonts w:hint="eastAsia" w:ascii="黑体" w:hAnsi="黑体" w:eastAsia="黑体"/>
          <w:sz w:val="18"/>
          <w:szCs w:val="18"/>
        </w:rPr>
        <w:t>注：</w:t>
      </w:r>
      <w:r>
        <w:rPr>
          <w:rFonts w:hint="eastAsia" w:ascii="Times New Roman"/>
          <w:sz w:val="18"/>
          <w:szCs w:val="18"/>
        </w:rPr>
        <w:t>通常包括电池单体、</w:t>
      </w:r>
      <w:r>
        <w:rPr>
          <w:rFonts w:ascii="Times New Roman"/>
          <w:sz w:val="18"/>
          <w:szCs w:val="18"/>
        </w:rPr>
        <w:t>电池管理模块（不含</w:t>
      </w:r>
      <w:r>
        <w:rPr>
          <w:rFonts w:hint="eastAsia" w:ascii="Times New Roman"/>
          <w:sz w:val="18"/>
          <w:szCs w:val="18"/>
        </w:rPr>
        <w:t>BCU）、电池箱及相应附件（冷却部件、连接线缆等）。</w:t>
      </w:r>
    </w:p>
    <w:p>
      <w:pPr>
        <w:pStyle w:val="42"/>
        <w:spacing w:before="156" w:after="156"/>
        <w:ind w:left="0"/>
        <w:rPr>
          <w:rFonts w:ascii="Times New Roman" w:eastAsia="宋体"/>
        </w:rPr>
      </w:pPr>
      <w:bookmarkStart w:id="157" w:name="_Toc511831642"/>
      <w:bookmarkEnd w:id="157"/>
      <w:bookmarkStart w:id="158" w:name="_Toc504059365"/>
      <w:bookmarkEnd w:id="158"/>
      <w:bookmarkStart w:id="159" w:name="_Toc510644168"/>
      <w:bookmarkEnd w:id="159"/>
      <w:bookmarkStart w:id="160" w:name="_Toc512347047"/>
      <w:bookmarkEnd w:id="160"/>
      <w:bookmarkStart w:id="161" w:name="_Toc513232416"/>
      <w:bookmarkEnd w:id="161"/>
      <w:bookmarkStart w:id="162" w:name="_Toc511045304"/>
      <w:bookmarkEnd w:id="162"/>
      <w:bookmarkStart w:id="163" w:name="_Toc513234285"/>
      <w:bookmarkEnd w:id="163"/>
      <w:bookmarkStart w:id="164" w:name="_Toc512454195"/>
      <w:bookmarkEnd w:id="164"/>
      <w:bookmarkStart w:id="165" w:name="_Toc450682835"/>
      <w:bookmarkStart w:id="166" w:name="_Toc476948646"/>
      <w:bookmarkStart w:id="167" w:name="_Toc477502326"/>
      <w:bookmarkStart w:id="168" w:name="_Toc478328980"/>
      <w:bookmarkStart w:id="169" w:name="_Toc495431164"/>
      <w:bookmarkStart w:id="170" w:name="_Toc477465949"/>
      <w:bookmarkStart w:id="171" w:name="_Toc450838119"/>
      <w:bookmarkStart w:id="172" w:name="_Toc478411915"/>
      <w:bookmarkStart w:id="173" w:name="_Toc452758308"/>
      <w:bookmarkStart w:id="174" w:name="_Toc450838568"/>
      <w:bookmarkStart w:id="175" w:name="_Toc450851953"/>
      <w:bookmarkStart w:id="176" w:name="_Toc491440223"/>
      <w:bookmarkStart w:id="177" w:name="_Toc452752557"/>
      <w:bookmarkStart w:id="178" w:name="_Toc450729722"/>
      <w:bookmarkStart w:id="179" w:name="_Toc451590766"/>
      <w:bookmarkStart w:id="180" w:name="_Toc450836271"/>
      <w:bookmarkStart w:id="181" w:name="_Toc450835480"/>
      <w:bookmarkStart w:id="182" w:name="_Toc467700666"/>
      <w:bookmarkStart w:id="183" w:name="_Toc468729473"/>
      <w:bookmarkStart w:id="184" w:name="_Toc501358457"/>
      <w:bookmarkStart w:id="185" w:name="_Toc477380562"/>
      <w:bookmarkStart w:id="186" w:name="_Toc497749519"/>
      <w:bookmarkStart w:id="187" w:name="_Toc467071562"/>
      <w:bookmarkStart w:id="188" w:name="_Toc467527326"/>
    </w:p>
    <w:p>
      <w:pPr>
        <w:pStyle w:val="42"/>
        <w:numPr>
          <w:ilvl w:val="0"/>
          <w:numId w:val="0"/>
        </w:numPr>
        <w:spacing w:before="156" w:after="156"/>
        <w:ind w:firstLine="420" w:firstLineChars="200"/>
        <w:rPr>
          <w:rFonts w:hAnsi="黑体"/>
        </w:rPr>
      </w:pPr>
      <w:bookmarkStart w:id="189" w:name="_Toc512454196"/>
      <w:bookmarkStart w:id="190" w:name="_Toc513232417"/>
      <w:bookmarkStart w:id="191" w:name="_Toc513234286"/>
      <w:bookmarkStart w:id="192" w:name="_Toc510644169"/>
      <w:bookmarkStart w:id="193" w:name="_Toc512347048"/>
      <w:bookmarkStart w:id="194" w:name="_Toc511045305"/>
      <w:bookmarkStart w:id="195" w:name="_Toc511831643"/>
      <w:bookmarkStart w:id="196" w:name="_Toc504059366"/>
      <w:r>
        <w:rPr>
          <w:rFonts w:hint="eastAsia" w:hAnsi="黑体"/>
        </w:rPr>
        <w:t xml:space="preserve">电池系统 </w:t>
      </w:r>
      <w:r>
        <w:rPr>
          <w:rFonts w:ascii="Times New Roman"/>
        </w:rPr>
        <w:t>battery system</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23"/>
        <w:rPr>
          <w:rFonts w:ascii="Times New Roman"/>
        </w:rPr>
      </w:pPr>
      <w:bookmarkStart w:id="197" w:name="_Toc450729723"/>
      <w:bookmarkStart w:id="198" w:name="_Toc450682836"/>
      <w:r>
        <w:rPr>
          <w:rFonts w:hint="eastAsia" w:ascii="Times New Roman"/>
        </w:rPr>
        <w:t>一个或一个以上的电池包及相应附件（管理系统、高压电路、低压电路及机械总成等）构成的能量存储装置。</w:t>
      </w:r>
      <w:bookmarkEnd w:id="197"/>
      <w:bookmarkEnd w:id="198"/>
    </w:p>
    <w:p>
      <w:pPr>
        <w:pStyle w:val="42"/>
        <w:spacing w:before="156" w:after="156"/>
        <w:ind w:left="0"/>
        <w:rPr>
          <w:rFonts w:ascii="Times New Roman" w:eastAsia="宋体"/>
        </w:rPr>
      </w:pPr>
      <w:bookmarkStart w:id="199" w:name="_Toc512347049"/>
      <w:bookmarkEnd w:id="199"/>
      <w:bookmarkStart w:id="200" w:name="_Toc504059367"/>
      <w:bookmarkEnd w:id="200"/>
      <w:bookmarkStart w:id="201" w:name="_Toc511831644"/>
      <w:bookmarkEnd w:id="201"/>
      <w:bookmarkStart w:id="202" w:name="_Toc513234287"/>
      <w:bookmarkEnd w:id="202"/>
      <w:bookmarkStart w:id="203" w:name="_Toc513232418"/>
      <w:bookmarkEnd w:id="203"/>
      <w:bookmarkStart w:id="204" w:name="_Toc511045306"/>
      <w:bookmarkEnd w:id="204"/>
      <w:bookmarkStart w:id="205" w:name="_Toc510644170"/>
      <w:bookmarkEnd w:id="205"/>
      <w:bookmarkStart w:id="206" w:name="_Toc512454197"/>
      <w:bookmarkEnd w:id="206"/>
      <w:bookmarkStart w:id="207" w:name="_Toc450838569"/>
      <w:bookmarkStart w:id="208" w:name="_Toc450836272"/>
      <w:bookmarkStart w:id="209" w:name="_Toc450682837"/>
      <w:bookmarkStart w:id="210" w:name="_Toc491440224"/>
      <w:bookmarkStart w:id="211" w:name="_Toc467700667"/>
      <w:bookmarkStart w:id="212" w:name="_Toc467071563"/>
      <w:bookmarkStart w:id="213" w:name="_Toc468729474"/>
      <w:bookmarkStart w:id="214" w:name="_Toc450729724"/>
      <w:bookmarkStart w:id="215" w:name="_Toc452758309"/>
      <w:bookmarkStart w:id="216" w:name="_Toc452752558"/>
      <w:bookmarkStart w:id="217" w:name="_Toc501358458"/>
      <w:bookmarkStart w:id="218" w:name="_Toc450835481"/>
      <w:bookmarkStart w:id="219" w:name="_Toc478411916"/>
      <w:bookmarkStart w:id="220" w:name="_Toc467527327"/>
      <w:bookmarkStart w:id="221" w:name="_Toc476948647"/>
      <w:bookmarkStart w:id="222" w:name="_Toc477380563"/>
      <w:bookmarkStart w:id="223" w:name="_Toc477502327"/>
      <w:bookmarkStart w:id="224" w:name="_Toc450851954"/>
      <w:bookmarkStart w:id="225" w:name="_Toc497749520"/>
      <w:bookmarkStart w:id="226" w:name="_Toc451590767"/>
      <w:bookmarkStart w:id="227" w:name="_Toc450838120"/>
      <w:bookmarkStart w:id="228" w:name="_Toc478328981"/>
      <w:bookmarkStart w:id="229" w:name="_Toc495431165"/>
      <w:bookmarkStart w:id="230" w:name="_Toc477465950"/>
    </w:p>
    <w:p>
      <w:pPr>
        <w:pStyle w:val="42"/>
        <w:numPr>
          <w:ilvl w:val="0"/>
          <w:numId w:val="0"/>
        </w:numPr>
        <w:spacing w:before="156" w:after="156"/>
        <w:ind w:firstLine="420" w:firstLineChars="200"/>
        <w:rPr>
          <w:rFonts w:hAnsi="黑体"/>
        </w:rPr>
      </w:pPr>
      <w:bookmarkStart w:id="231" w:name="_Toc513232419"/>
      <w:bookmarkStart w:id="232" w:name="_Toc511831645"/>
      <w:bookmarkStart w:id="233" w:name="_Toc504059368"/>
      <w:bookmarkStart w:id="234" w:name="_Toc513234288"/>
      <w:bookmarkStart w:id="235" w:name="_Toc510644171"/>
      <w:bookmarkStart w:id="236" w:name="_Toc511045307"/>
      <w:bookmarkStart w:id="237" w:name="_Toc512347050"/>
      <w:bookmarkStart w:id="238" w:name="_Toc512454198"/>
      <w:r>
        <w:rPr>
          <w:rFonts w:hint="eastAsia" w:hAnsi="黑体"/>
        </w:rPr>
        <w:t xml:space="preserve">电池电子部件 </w:t>
      </w:r>
      <w:r>
        <w:rPr>
          <w:rFonts w:ascii="Times New Roman"/>
        </w:rPr>
        <w:t>battery electronics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23"/>
        <w:rPr>
          <w:rFonts w:ascii="Times New Roman"/>
        </w:rPr>
      </w:pPr>
      <w:bookmarkStart w:id="239" w:name="_Toc450682838"/>
      <w:bookmarkStart w:id="240" w:name="_Toc450729725"/>
      <w:r>
        <w:rPr>
          <w:rFonts w:hint="eastAsia" w:ascii="Times New Roman"/>
        </w:rPr>
        <w:t>采集或者同时监测电池包电和热数据的电子装置。</w:t>
      </w:r>
      <w:bookmarkEnd w:id="239"/>
      <w:bookmarkEnd w:id="240"/>
    </w:p>
    <w:p>
      <w:pPr>
        <w:pStyle w:val="23"/>
        <w:ind w:firstLine="360"/>
        <w:rPr>
          <w:rFonts w:ascii="Times New Roman"/>
        </w:rPr>
      </w:pPr>
      <w:bookmarkStart w:id="241" w:name="_Toc450729726"/>
      <w:bookmarkStart w:id="242" w:name="_Toc450682839"/>
      <w:r>
        <w:rPr>
          <w:rFonts w:hint="eastAsia" w:ascii="黑体" w:hAnsi="黑体" w:eastAsia="黑体"/>
          <w:sz w:val="18"/>
          <w:szCs w:val="18"/>
        </w:rPr>
        <w:t>注：</w:t>
      </w:r>
      <w:r>
        <w:rPr>
          <w:rFonts w:hint="eastAsia" w:ascii="Times New Roman"/>
          <w:sz w:val="18"/>
          <w:szCs w:val="18"/>
        </w:rPr>
        <w:t>电池电子部件可以包括单体控制器和用于电池单体均衡的电子部件。电池单体间的均衡可以由电池电子部件控制，或者通过电池控制单元控制。</w:t>
      </w:r>
      <w:bookmarkEnd w:id="241"/>
      <w:bookmarkEnd w:id="242"/>
    </w:p>
    <w:p>
      <w:pPr>
        <w:pStyle w:val="42"/>
        <w:spacing w:before="156" w:after="156"/>
        <w:ind w:left="0"/>
        <w:rPr>
          <w:rFonts w:ascii="Times New Roman" w:eastAsia="宋体"/>
        </w:rPr>
      </w:pPr>
      <w:bookmarkStart w:id="243" w:name="_Toc510644172"/>
      <w:bookmarkEnd w:id="243"/>
      <w:bookmarkStart w:id="244" w:name="_Toc511831646"/>
      <w:bookmarkEnd w:id="244"/>
      <w:bookmarkStart w:id="245" w:name="_Toc512454199"/>
      <w:bookmarkEnd w:id="245"/>
      <w:bookmarkStart w:id="246" w:name="_Toc513234289"/>
      <w:bookmarkEnd w:id="246"/>
      <w:bookmarkStart w:id="247" w:name="_Toc511045308"/>
      <w:bookmarkEnd w:id="247"/>
      <w:bookmarkStart w:id="248" w:name="_Toc504059369"/>
      <w:bookmarkEnd w:id="248"/>
      <w:bookmarkStart w:id="249" w:name="_Toc512347051"/>
      <w:bookmarkEnd w:id="249"/>
      <w:bookmarkStart w:id="250" w:name="_Toc513232420"/>
      <w:bookmarkEnd w:id="250"/>
      <w:bookmarkStart w:id="251" w:name="_Toc452758310"/>
      <w:bookmarkStart w:id="252" w:name="_Toc451590768"/>
      <w:bookmarkStart w:id="253" w:name="_Toc491440225"/>
      <w:bookmarkStart w:id="254" w:name="_Toc467071564"/>
      <w:bookmarkStart w:id="255" w:name="_Toc450836273"/>
      <w:bookmarkStart w:id="256" w:name="_Toc468729475"/>
      <w:bookmarkStart w:id="257" w:name="_Toc477380564"/>
      <w:bookmarkStart w:id="258" w:name="_Toc467700668"/>
      <w:bookmarkStart w:id="259" w:name="_Toc450682840"/>
      <w:bookmarkStart w:id="260" w:name="_Toc477502328"/>
      <w:bookmarkStart w:id="261" w:name="_Toc450838121"/>
      <w:bookmarkStart w:id="262" w:name="_Toc497749521"/>
      <w:bookmarkStart w:id="263" w:name="_Toc478411917"/>
      <w:bookmarkStart w:id="264" w:name="_Toc478328982"/>
      <w:bookmarkStart w:id="265" w:name="_Toc495431166"/>
      <w:bookmarkStart w:id="266" w:name="_Toc450838570"/>
      <w:bookmarkStart w:id="267" w:name="_Toc452752559"/>
      <w:bookmarkStart w:id="268" w:name="_Toc501358459"/>
      <w:bookmarkStart w:id="269" w:name="_Toc477465951"/>
      <w:bookmarkStart w:id="270" w:name="_Toc467527328"/>
      <w:bookmarkStart w:id="271" w:name="_Toc450851955"/>
      <w:bookmarkStart w:id="272" w:name="_Toc476948648"/>
      <w:bookmarkStart w:id="273" w:name="_Toc450835482"/>
      <w:bookmarkStart w:id="274" w:name="_Toc450729727"/>
    </w:p>
    <w:p>
      <w:pPr>
        <w:pStyle w:val="42"/>
        <w:numPr>
          <w:ilvl w:val="0"/>
          <w:numId w:val="0"/>
        </w:numPr>
        <w:spacing w:before="156" w:after="156"/>
        <w:ind w:firstLine="420" w:firstLineChars="200"/>
        <w:rPr>
          <w:rFonts w:hAnsi="黑体"/>
        </w:rPr>
      </w:pPr>
      <w:bookmarkStart w:id="275" w:name="_Toc513232421"/>
      <w:bookmarkStart w:id="276" w:name="_Toc512347052"/>
      <w:bookmarkStart w:id="277" w:name="_Toc512454200"/>
      <w:bookmarkStart w:id="278" w:name="_Toc511831647"/>
      <w:bookmarkStart w:id="279" w:name="_Toc511045309"/>
      <w:bookmarkStart w:id="280" w:name="_Toc504059370"/>
      <w:bookmarkStart w:id="281" w:name="_Toc513234290"/>
      <w:bookmarkStart w:id="282" w:name="_Toc510644173"/>
      <w:r>
        <w:rPr>
          <w:rFonts w:hint="eastAsia" w:hAnsi="黑体"/>
        </w:rPr>
        <w:t>电池控制单元</w:t>
      </w:r>
      <w:r>
        <w:rPr>
          <w:rFonts w:hAnsi="黑体"/>
        </w:rPr>
        <w:t xml:space="preserve"> </w:t>
      </w:r>
      <w:r>
        <w:rPr>
          <w:rFonts w:ascii="Times New Roman"/>
        </w:rPr>
        <w:t>battery control unit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23"/>
        <w:rPr>
          <w:rFonts w:ascii="Times New Roman"/>
        </w:rPr>
      </w:pPr>
      <w:bookmarkStart w:id="283" w:name="_Toc450682841"/>
      <w:bookmarkStart w:id="284" w:name="_Toc450729728"/>
      <w:r>
        <w:rPr>
          <w:rFonts w:hint="eastAsia" w:ascii="Times New Roman"/>
        </w:rPr>
        <w:t>控制、管理、检测或计算电池系统的电和热相关的参数，并提供电池系统和其他车辆控制器通讯的电子装置。</w:t>
      </w:r>
      <w:bookmarkEnd w:id="283"/>
      <w:bookmarkEnd w:id="284"/>
    </w:p>
    <w:p>
      <w:pPr>
        <w:pStyle w:val="42"/>
        <w:spacing w:before="156" w:after="156"/>
        <w:ind w:left="0"/>
        <w:rPr>
          <w:rFonts w:ascii="Times New Roman" w:eastAsia="宋体"/>
        </w:rPr>
      </w:pPr>
      <w:bookmarkStart w:id="285" w:name="_Toc504059371"/>
      <w:bookmarkEnd w:id="285"/>
      <w:bookmarkStart w:id="286" w:name="_Toc511045310"/>
      <w:bookmarkEnd w:id="286"/>
      <w:bookmarkStart w:id="287" w:name="_Toc511831648"/>
      <w:bookmarkEnd w:id="287"/>
      <w:bookmarkStart w:id="288" w:name="_Toc510644174"/>
      <w:bookmarkEnd w:id="288"/>
      <w:bookmarkStart w:id="289" w:name="_Toc513232422"/>
      <w:bookmarkEnd w:id="289"/>
      <w:bookmarkStart w:id="290" w:name="_Toc513234291"/>
      <w:bookmarkEnd w:id="290"/>
      <w:bookmarkStart w:id="291" w:name="_Toc512454201"/>
      <w:bookmarkEnd w:id="291"/>
      <w:bookmarkStart w:id="292" w:name="_Toc512347053"/>
      <w:bookmarkEnd w:id="292"/>
      <w:bookmarkStart w:id="293" w:name="_Toc475375115"/>
      <w:bookmarkStart w:id="294" w:name="_Toc491440226"/>
      <w:bookmarkStart w:id="295" w:name="_Toc478411918"/>
      <w:bookmarkStart w:id="296" w:name="_Toc477502331"/>
      <w:bookmarkStart w:id="297" w:name="_Toc476948651"/>
      <w:bookmarkStart w:id="298" w:name="_Toc477380567"/>
      <w:bookmarkStart w:id="299" w:name="_Toc497749522"/>
      <w:bookmarkStart w:id="300" w:name="_Toc477465954"/>
      <w:bookmarkStart w:id="301" w:name="_Toc495431167"/>
      <w:bookmarkStart w:id="302" w:name="_Toc501358460"/>
      <w:bookmarkStart w:id="303" w:name="_Toc478328983"/>
    </w:p>
    <w:p>
      <w:pPr>
        <w:pStyle w:val="42"/>
        <w:numPr>
          <w:ilvl w:val="0"/>
          <w:numId w:val="0"/>
        </w:numPr>
        <w:spacing w:before="156" w:after="156"/>
        <w:ind w:firstLine="420" w:firstLineChars="200"/>
        <w:rPr>
          <w:rFonts w:hAnsi="黑体"/>
        </w:rPr>
      </w:pPr>
      <w:bookmarkStart w:id="304" w:name="_Toc511831649"/>
      <w:bookmarkStart w:id="305" w:name="_Toc504059372"/>
      <w:bookmarkStart w:id="306" w:name="_Toc513234292"/>
      <w:bookmarkStart w:id="307" w:name="_Toc510644175"/>
      <w:bookmarkStart w:id="308" w:name="_Toc512347054"/>
      <w:bookmarkStart w:id="309" w:name="_Toc511045311"/>
      <w:bookmarkStart w:id="310" w:name="_Toc513232423"/>
      <w:bookmarkStart w:id="311" w:name="_Toc512454202"/>
      <w:r>
        <w:rPr>
          <w:rFonts w:hint="eastAsia" w:hAnsi="黑体"/>
        </w:rPr>
        <w:t xml:space="preserve">额定容量 </w:t>
      </w:r>
      <w:r>
        <w:rPr>
          <w:rFonts w:ascii="Times New Roman"/>
        </w:rPr>
        <w:t>rated capacity</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widowControl/>
        <w:tabs>
          <w:tab w:val="center" w:pos="4201"/>
          <w:tab w:val="right" w:leader="dot" w:pos="9298"/>
        </w:tabs>
        <w:autoSpaceDE w:val="0"/>
        <w:autoSpaceDN w:val="0"/>
        <w:ind w:firstLine="420"/>
        <w:rPr>
          <w:kern w:val="0"/>
          <w:szCs w:val="20"/>
        </w:rPr>
      </w:pPr>
      <w:r>
        <w:rPr>
          <w:kern w:val="0"/>
          <w:szCs w:val="20"/>
        </w:rPr>
        <w:t>以制造商</w:t>
      </w:r>
      <w:r>
        <w:rPr>
          <w:rFonts w:hint="eastAsia"/>
          <w:kern w:val="0"/>
          <w:szCs w:val="20"/>
        </w:rPr>
        <w:t>规定</w:t>
      </w:r>
      <w:r>
        <w:rPr>
          <w:kern w:val="0"/>
          <w:szCs w:val="20"/>
        </w:rPr>
        <w:t>的</w:t>
      </w:r>
      <w:r>
        <w:rPr>
          <w:rFonts w:hint="eastAsia"/>
          <w:kern w:val="0"/>
          <w:szCs w:val="20"/>
        </w:rPr>
        <w:t>条件</w:t>
      </w:r>
      <w:r>
        <w:rPr>
          <w:kern w:val="0"/>
          <w:szCs w:val="20"/>
        </w:rPr>
        <w:t>测得的并由制造商</w:t>
      </w:r>
      <w:r>
        <w:rPr>
          <w:rFonts w:hint="eastAsia"/>
          <w:kern w:val="0"/>
          <w:szCs w:val="20"/>
        </w:rPr>
        <w:t>申明</w:t>
      </w:r>
      <w:r>
        <w:rPr>
          <w:kern w:val="0"/>
          <w:szCs w:val="20"/>
        </w:rPr>
        <w:t>的电池</w:t>
      </w:r>
      <w:r>
        <w:rPr>
          <w:rFonts w:hint="eastAsia"/>
          <w:kern w:val="0"/>
          <w:szCs w:val="20"/>
        </w:rPr>
        <w:t>单体</w:t>
      </w:r>
      <w:r>
        <w:rPr>
          <w:kern w:val="0"/>
          <w:szCs w:val="20"/>
        </w:rPr>
        <w:t>、</w:t>
      </w:r>
      <w:r>
        <w:rPr>
          <w:rFonts w:hint="eastAsia"/>
          <w:kern w:val="0"/>
          <w:szCs w:val="20"/>
        </w:rPr>
        <w:t>模块</w:t>
      </w:r>
      <w:r>
        <w:rPr>
          <w:kern w:val="0"/>
          <w:szCs w:val="20"/>
        </w:rPr>
        <w:t>、电池包或系统的容量值。</w:t>
      </w:r>
    </w:p>
    <w:p>
      <w:pPr>
        <w:pStyle w:val="23"/>
        <w:ind w:firstLine="360"/>
        <w:rPr>
          <w:rFonts w:ascii="Times New Roman"/>
          <w:kern w:val="2"/>
          <w:szCs w:val="21"/>
        </w:rPr>
      </w:pPr>
      <w:r>
        <w:rPr>
          <w:rFonts w:hint="eastAsia" w:ascii="黑体" w:hAnsi="黑体" w:eastAsia="黑体"/>
          <w:kern w:val="2"/>
          <w:sz w:val="18"/>
          <w:szCs w:val="18"/>
        </w:rPr>
        <w:t>注：</w:t>
      </w:r>
      <w:r>
        <w:rPr>
          <w:rFonts w:hint="eastAsia" w:ascii="Times New Roman"/>
          <w:kern w:val="2"/>
          <w:sz w:val="18"/>
          <w:szCs w:val="18"/>
        </w:rPr>
        <w:t>额定容量通常用安时（</w:t>
      </w:r>
      <w:r>
        <w:rPr>
          <w:rFonts w:ascii="Times New Roman"/>
          <w:kern w:val="2"/>
          <w:sz w:val="18"/>
          <w:szCs w:val="18"/>
        </w:rPr>
        <w:t>Ah</w:t>
      </w:r>
      <w:r>
        <w:rPr>
          <w:rFonts w:hint="eastAsia" w:ascii="Times New Roman"/>
          <w:kern w:val="2"/>
          <w:sz w:val="18"/>
          <w:szCs w:val="18"/>
        </w:rPr>
        <w:t>）或毫安时（</w:t>
      </w:r>
      <w:r>
        <w:rPr>
          <w:rFonts w:ascii="Times New Roman"/>
          <w:kern w:val="2"/>
          <w:sz w:val="18"/>
          <w:szCs w:val="18"/>
        </w:rPr>
        <w:t>mAh</w:t>
      </w:r>
      <w:r>
        <w:rPr>
          <w:rFonts w:hint="eastAsia" w:ascii="Times New Roman"/>
          <w:kern w:val="2"/>
          <w:sz w:val="18"/>
          <w:szCs w:val="18"/>
        </w:rPr>
        <w:t>）来表示。</w:t>
      </w:r>
    </w:p>
    <w:p>
      <w:pPr>
        <w:pStyle w:val="42"/>
        <w:spacing w:before="156" w:after="156"/>
        <w:ind w:left="0"/>
        <w:rPr>
          <w:rFonts w:ascii="Times New Roman" w:eastAsia="宋体"/>
        </w:rPr>
      </w:pPr>
      <w:bookmarkStart w:id="312" w:name="_Toc513234293"/>
      <w:bookmarkEnd w:id="312"/>
      <w:bookmarkStart w:id="313" w:name="_Toc511045312"/>
      <w:bookmarkEnd w:id="313"/>
      <w:bookmarkStart w:id="314" w:name="_Toc511831650"/>
      <w:bookmarkEnd w:id="314"/>
      <w:bookmarkStart w:id="315" w:name="_Toc512347055"/>
      <w:bookmarkEnd w:id="315"/>
      <w:bookmarkStart w:id="316" w:name="_Toc504059373"/>
      <w:bookmarkEnd w:id="316"/>
      <w:bookmarkStart w:id="317" w:name="_Toc513232424"/>
      <w:bookmarkEnd w:id="317"/>
      <w:bookmarkStart w:id="318" w:name="_Toc512454203"/>
      <w:bookmarkEnd w:id="318"/>
      <w:bookmarkStart w:id="319" w:name="_Toc510644176"/>
      <w:bookmarkEnd w:id="319"/>
      <w:bookmarkStart w:id="320" w:name="_Toc501358461"/>
    </w:p>
    <w:p>
      <w:pPr>
        <w:pStyle w:val="42"/>
        <w:numPr>
          <w:ilvl w:val="0"/>
          <w:numId w:val="0"/>
        </w:numPr>
        <w:spacing w:before="156" w:after="156"/>
        <w:ind w:firstLine="420" w:firstLineChars="200"/>
        <w:rPr>
          <w:rFonts w:hAnsi="黑体"/>
        </w:rPr>
      </w:pPr>
      <w:bookmarkStart w:id="321" w:name="_Toc512454204"/>
      <w:bookmarkStart w:id="322" w:name="_Toc510644177"/>
      <w:bookmarkStart w:id="323" w:name="_Toc512347056"/>
      <w:bookmarkStart w:id="324" w:name="_Toc513232425"/>
      <w:bookmarkStart w:id="325" w:name="_Toc504059374"/>
      <w:bookmarkStart w:id="326" w:name="_Toc513234294"/>
      <w:bookmarkStart w:id="327" w:name="_Toc511045313"/>
      <w:bookmarkStart w:id="328" w:name="_Toc511831651"/>
      <w:r>
        <w:rPr>
          <w:rFonts w:hint="eastAsia" w:hAnsi="黑体"/>
        </w:rPr>
        <w:t>实际</w:t>
      </w:r>
      <w:r>
        <w:rPr>
          <w:rFonts w:hAnsi="黑体"/>
        </w:rPr>
        <w:t>容量</w:t>
      </w:r>
      <w:r>
        <w:rPr>
          <w:rFonts w:hint="eastAsia" w:hAnsi="黑体"/>
        </w:rPr>
        <w:t xml:space="preserve"> </w:t>
      </w:r>
      <w:r>
        <w:rPr>
          <w:rFonts w:ascii="Times New Roman"/>
        </w:rPr>
        <w:t>practical capacity</w:t>
      </w:r>
      <w:bookmarkEnd w:id="320"/>
      <w:bookmarkEnd w:id="321"/>
      <w:bookmarkEnd w:id="322"/>
      <w:bookmarkEnd w:id="323"/>
      <w:bookmarkEnd w:id="324"/>
      <w:bookmarkEnd w:id="325"/>
      <w:bookmarkEnd w:id="326"/>
      <w:bookmarkEnd w:id="327"/>
      <w:bookmarkEnd w:id="328"/>
    </w:p>
    <w:p>
      <w:pPr>
        <w:pStyle w:val="23"/>
        <w:rPr>
          <w:rFonts w:ascii="Times New Roman"/>
          <w:kern w:val="2"/>
          <w:szCs w:val="21"/>
        </w:rPr>
      </w:pPr>
      <w:r>
        <w:t>以制造商</w:t>
      </w:r>
      <w:r>
        <w:rPr>
          <w:rFonts w:hint="eastAsia"/>
        </w:rPr>
        <w:t>规定</w:t>
      </w:r>
      <w:r>
        <w:t>的</w:t>
      </w:r>
      <w:r>
        <w:rPr>
          <w:rFonts w:hint="eastAsia"/>
        </w:rPr>
        <w:t>条件</w:t>
      </w:r>
      <w:r>
        <w:rPr>
          <w:rFonts w:hint="eastAsia" w:ascii="Times New Roman"/>
          <w:kern w:val="2"/>
          <w:szCs w:val="21"/>
        </w:rPr>
        <w:t>，从完全充电的电池单体、模块</w:t>
      </w:r>
      <w:r>
        <w:rPr>
          <w:rFonts w:ascii="Times New Roman"/>
          <w:kern w:val="2"/>
          <w:szCs w:val="21"/>
        </w:rPr>
        <w:t>、</w:t>
      </w:r>
      <w:r>
        <w:rPr>
          <w:rFonts w:hint="eastAsia" w:ascii="Times New Roman"/>
          <w:kern w:val="2"/>
          <w:szCs w:val="21"/>
        </w:rPr>
        <w:t>电池包或系统中释放的容量值</w:t>
      </w:r>
      <w:r>
        <w:rPr>
          <w:rFonts w:ascii="Times New Roman"/>
          <w:kern w:val="2"/>
          <w:szCs w:val="21"/>
        </w:rPr>
        <w:t>。</w:t>
      </w:r>
    </w:p>
    <w:p>
      <w:pPr>
        <w:pStyle w:val="42"/>
        <w:spacing w:before="156" w:after="156"/>
        <w:ind w:left="0"/>
        <w:rPr>
          <w:rFonts w:ascii="Times New Roman" w:eastAsia="宋体"/>
        </w:rPr>
      </w:pPr>
      <w:bookmarkStart w:id="329" w:name="_Toc512347057"/>
      <w:bookmarkEnd w:id="329"/>
      <w:bookmarkStart w:id="330" w:name="_Toc513232426"/>
      <w:bookmarkEnd w:id="330"/>
      <w:bookmarkStart w:id="331" w:name="_Toc510644178"/>
      <w:bookmarkEnd w:id="331"/>
      <w:bookmarkStart w:id="332" w:name="_Toc512454205"/>
      <w:bookmarkEnd w:id="332"/>
      <w:bookmarkStart w:id="333" w:name="_Toc511831652"/>
      <w:bookmarkEnd w:id="333"/>
      <w:bookmarkStart w:id="334" w:name="_Toc513234295"/>
      <w:bookmarkEnd w:id="334"/>
      <w:bookmarkStart w:id="335" w:name="_Toc511045314"/>
      <w:bookmarkEnd w:id="335"/>
      <w:bookmarkStart w:id="336" w:name="_Toc504059375"/>
      <w:bookmarkEnd w:id="336"/>
    </w:p>
    <w:p>
      <w:pPr>
        <w:pStyle w:val="42"/>
        <w:numPr>
          <w:ilvl w:val="0"/>
          <w:numId w:val="0"/>
        </w:numPr>
        <w:spacing w:before="156" w:after="156"/>
        <w:ind w:firstLine="420" w:firstLineChars="200"/>
        <w:rPr>
          <w:rFonts w:ascii="Times New Roman"/>
        </w:rPr>
      </w:pPr>
      <w:bookmarkStart w:id="337" w:name="_Toc511045315"/>
      <w:bookmarkStart w:id="338" w:name="_Toc511831653"/>
      <w:bookmarkStart w:id="339" w:name="_Toc512347058"/>
      <w:bookmarkStart w:id="340" w:name="_Toc504059376"/>
      <w:bookmarkStart w:id="341" w:name="_Toc513232427"/>
      <w:bookmarkStart w:id="342" w:name="_Toc512454206"/>
      <w:bookmarkStart w:id="343" w:name="_Toc513234296"/>
      <w:bookmarkStart w:id="344" w:name="_Toc510644179"/>
      <w:r>
        <w:rPr>
          <w:rFonts w:hint="eastAsia" w:hAnsi="黑体"/>
        </w:rPr>
        <w:t>荷电</w:t>
      </w:r>
      <w:r>
        <w:rPr>
          <w:rFonts w:hAnsi="黑体"/>
        </w:rPr>
        <w:t>状态</w:t>
      </w:r>
      <w:r>
        <w:rPr>
          <w:rFonts w:hint="eastAsia" w:hAnsi="黑体"/>
        </w:rPr>
        <w:t xml:space="preserve"> </w:t>
      </w:r>
      <w:r>
        <w:rPr>
          <w:rFonts w:ascii="Times New Roman"/>
        </w:rPr>
        <w:t>state-of-charge</w:t>
      </w:r>
      <w:bookmarkEnd w:id="337"/>
      <w:bookmarkEnd w:id="338"/>
      <w:bookmarkEnd w:id="339"/>
      <w:bookmarkEnd w:id="340"/>
      <w:bookmarkEnd w:id="341"/>
      <w:bookmarkEnd w:id="342"/>
      <w:bookmarkEnd w:id="343"/>
      <w:bookmarkEnd w:id="344"/>
    </w:p>
    <w:p>
      <w:pPr>
        <w:pStyle w:val="23"/>
        <w:rPr>
          <w:rFonts w:hAnsi="黑体"/>
        </w:rPr>
      </w:pPr>
      <w:r>
        <w:t>当前</w:t>
      </w:r>
      <w:r>
        <w:rPr>
          <w:rFonts w:hint="eastAsia"/>
        </w:rPr>
        <w:t>电池单体、模块</w:t>
      </w:r>
      <w:r>
        <w:t>、电池包或系统</w:t>
      </w:r>
      <w:r>
        <w:rPr>
          <w:rFonts w:hint="eastAsia"/>
        </w:rPr>
        <w:t>中按照制造商规定的放电条件可以释放的容量占实际</w:t>
      </w:r>
      <w:r>
        <w:t>容量的百分比</w:t>
      </w:r>
      <w:r>
        <w:rPr>
          <w:rFonts w:hint="eastAsia"/>
        </w:rPr>
        <w:t>。</w:t>
      </w:r>
    </w:p>
    <w:p>
      <w:pPr>
        <w:pStyle w:val="42"/>
        <w:spacing w:before="156" w:after="156"/>
        <w:ind w:left="0"/>
        <w:rPr>
          <w:rFonts w:ascii="Times New Roman" w:eastAsia="宋体"/>
        </w:rPr>
      </w:pPr>
      <w:bookmarkStart w:id="345" w:name="_Toc511831654"/>
      <w:bookmarkEnd w:id="345"/>
      <w:bookmarkStart w:id="346" w:name="_Toc512347059"/>
      <w:bookmarkEnd w:id="346"/>
      <w:bookmarkStart w:id="347" w:name="_Toc510644180"/>
      <w:bookmarkEnd w:id="347"/>
      <w:bookmarkStart w:id="348" w:name="_Toc511045316"/>
      <w:bookmarkEnd w:id="348"/>
      <w:bookmarkStart w:id="349" w:name="_Toc504059377"/>
      <w:bookmarkEnd w:id="349"/>
      <w:bookmarkStart w:id="350" w:name="_Toc513234297"/>
      <w:bookmarkEnd w:id="350"/>
      <w:bookmarkStart w:id="351" w:name="_Toc513232428"/>
      <w:bookmarkEnd w:id="351"/>
      <w:bookmarkStart w:id="352" w:name="_Toc512454207"/>
      <w:bookmarkEnd w:id="352"/>
      <w:bookmarkStart w:id="353" w:name="_Toc467074901"/>
      <w:bookmarkStart w:id="354" w:name="_Toc477380568"/>
      <w:bookmarkStart w:id="355" w:name="_Toc452758314"/>
      <w:bookmarkStart w:id="356" w:name="_Toc476948652"/>
      <w:bookmarkStart w:id="357" w:name="_Toc452752563"/>
      <w:bookmarkStart w:id="358" w:name="_Toc468718258"/>
      <w:bookmarkStart w:id="359" w:name="_Toc450835486"/>
      <w:bookmarkStart w:id="360" w:name="_Toc478411919"/>
      <w:bookmarkStart w:id="361" w:name="_Toc475375116"/>
      <w:bookmarkStart w:id="362" w:name="_Toc467693312"/>
      <w:bookmarkStart w:id="363" w:name="_Toc450838574"/>
      <w:bookmarkStart w:id="364" w:name="_Toc501358462"/>
      <w:bookmarkStart w:id="365" w:name="_Toc450729735"/>
      <w:bookmarkStart w:id="366" w:name="_Toc467526537"/>
      <w:bookmarkStart w:id="367" w:name="_Toc450836277"/>
      <w:bookmarkStart w:id="368" w:name="_Toc477502332"/>
      <w:bookmarkStart w:id="369" w:name="_Toc451590772"/>
      <w:bookmarkStart w:id="370" w:name="_Toc495431170"/>
      <w:bookmarkStart w:id="371" w:name="_Toc450838125"/>
      <w:bookmarkStart w:id="372" w:name="_Toc450851959"/>
      <w:bookmarkStart w:id="373" w:name="_Toc475194325"/>
      <w:bookmarkStart w:id="374" w:name="_Toc452752357"/>
      <w:bookmarkStart w:id="375" w:name="_Toc497749525"/>
      <w:bookmarkStart w:id="376" w:name="_Toc478328984"/>
      <w:bookmarkStart w:id="377" w:name="_Toc477465955"/>
      <w:bookmarkStart w:id="378" w:name="_Toc450682848"/>
      <w:bookmarkStart w:id="379" w:name="_Toc491440229"/>
    </w:p>
    <w:p>
      <w:pPr>
        <w:pStyle w:val="42"/>
        <w:numPr>
          <w:ilvl w:val="0"/>
          <w:numId w:val="0"/>
        </w:numPr>
        <w:spacing w:before="156" w:after="156"/>
        <w:ind w:firstLine="420" w:firstLineChars="200"/>
        <w:rPr>
          <w:rFonts w:hAnsi="黑体"/>
        </w:rPr>
      </w:pPr>
      <w:bookmarkStart w:id="380" w:name="_Toc511045317"/>
      <w:bookmarkStart w:id="381" w:name="_Toc512347060"/>
      <w:bookmarkStart w:id="382" w:name="_Toc510644181"/>
      <w:bookmarkStart w:id="383" w:name="_Toc511831655"/>
      <w:bookmarkStart w:id="384" w:name="_Toc513234298"/>
      <w:bookmarkStart w:id="385" w:name="_Toc504059378"/>
      <w:bookmarkStart w:id="386" w:name="_Toc512454208"/>
      <w:bookmarkStart w:id="387" w:name="_Toc513232429"/>
      <w:r>
        <w:rPr>
          <w:rFonts w:hAnsi="黑体"/>
        </w:rPr>
        <w:t xml:space="preserve">爆炸 </w:t>
      </w:r>
      <w:r>
        <w:rPr>
          <w:rFonts w:ascii="Times New Roman"/>
        </w:rPr>
        <w:t>explosion</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widowControl/>
        <w:tabs>
          <w:tab w:val="center" w:pos="4201"/>
          <w:tab w:val="right" w:leader="dot" w:pos="9298"/>
        </w:tabs>
        <w:autoSpaceDE w:val="0"/>
        <w:autoSpaceDN w:val="0"/>
        <w:ind w:firstLine="420"/>
        <w:rPr>
          <w:rFonts w:ascii="宋体"/>
          <w:kern w:val="0"/>
          <w:szCs w:val="20"/>
        </w:rPr>
      </w:pPr>
      <w:r>
        <w:rPr>
          <w:rFonts w:hint="eastAsia" w:ascii="宋体"/>
          <w:kern w:val="0"/>
          <w:szCs w:val="20"/>
        </w:rPr>
        <w:t>突然</w:t>
      </w:r>
      <w:r>
        <w:rPr>
          <w:rFonts w:ascii="宋体"/>
          <w:kern w:val="0"/>
          <w:szCs w:val="20"/>
        </w:rPr>
        <w:t>释放足量的</w:t>
      </w:r>
      <w:r>
        <w:rPr>
          <w:rFonts w:hint="eastAsia" w:ascii="宋体"/>
          <w:kern w:val="0"/>
          <w:szCs w:val="20"/>
        </w:rPr>
        <w:t>能量</w:t>
      </w:r>
      <w:r>
        <w:rPr>
          <w:rFonts w:ascii="宋体"/>
          <w:kern w:val="0"/>
          <w:szCs w:val="20"/>
        </w:rPr>
        <w:t>产生压力波</w:t>
      </w:r>
      <w:r>
        <w:rPr>
          <w:rFonts w:hint="eastAsia" w:ascii="宋体"/>
          <w:kern w:val="0"/>
          <w:szCs w:val="20"/>
        </w:rPr>
        <w:t>或者</w:t>
      </w:r>
      <w:r>
        <w:rPr>
          <w:rFonts w:ascii="宋体"/>
          <w:kern w:val="0"/>
          <w:szCs w:val="20"/>
        </w:rPr>
        <w:t>喷射</w:t>
      </w:r>
      <w:r>
        <w:rPr>
          <w:rFonts w:hint="eastAsia" w:ascii="宋体"/>
          <w:kern w:val="0"/>
          <w:szCs w:val="20"/>
        </w:rPr>
        <w:t>物，</w:t>
      </w:r>
      <w:r>
        <w:rPr>
          <w:rFonts w:ascii="宋体"/>
          <w:kern w:val="0"/>
          <w:szCs w:val="20"/>
        </w:rPr>
        <w:t>可能会对周边</w:t>
      </w:r>
      <w:r>
        <w:rPr>
          <w:rFonts w:hint="eastAsia" w:ascii="宋体"/>
          <w:kern w:val="0"/>
          <w:szCs w:val="20"/>
        </w:rPr>
        <w:t>区域</w:t>
      </w:r>
      <w:r>
        <w:rPr>
          <w:rFonts w:ascii="宋体"/>
          <w:kern w:val="0"/>
          <w:szCs w:val="20"/>
        </w:rPr>
        <w:t>造成</w:t>
      </w:r>
      <w:r>
        <w:rPr>
          <w:rFonts w:hint="eastAsia" w:ascii="宋体"/>
          <w:kern w:val="0"/>
          <w:szCs w:val="20"/>
        </w:rPr>
        <w:t>结构</w:t>
      </w:r>
      <w:r>
        <w:rPr>
          <w:rFonts w:ascii="宋体"/>
          <w:kern w:val="0"/>
          <w:szCs w:val="20"/>
        </w:rPr>
        <w:t>或物理上的破坏</w:t>
      </w:r>
      <w:r>
        <w:rPr>
          <w:rFonts w:hint="eastAsia" w:ascii="宋体"/>
          <w:kern w:val="0"/>
          <w:szCs w:val="20"/>
        </w:rPr>
        <w:t>。</w:t>
      </w:r>
    </w:p>
    <w:p>
      <w:pPr>
        <w:pStyle w:val="42"/>
        <w:spacing w:before="156" w:after="156"/>
        <w:ind w:left="0"/>
        <w:rPr>
          <w:rFonts w:ascii="Times New Roman" w:eastAsia="宋体"/>
        </w:rPr>
      </w:pPr>
      <w:bookmarkStart w:id="388" w:name="_Toc504059379"/>
      <w:bookmarkEnd w:id="388"/>
      <w:bookmarkStart w:id="389" w:name="_Toc511045318"/>
      <w:bookmarkEnd w:id="389"/>
      <w:bookmarkStart w:id="390" w:name="_Toc513232430"/>
      <w:bookmarkEnd w:id="390"/>
      <w:bookmarkStart w:id="391" w:name="_Toc510644182"/>
      <w:bookmarkEnd w:id="391"/>
      <w:bookmarkStart w:id="392" w:name="_Toc511831656"/>
      <w:bookmarkEnd w:id="392"/>
      <w:bookmarkStart w:id="393" w:name="_Toc512454209"/>
      <w:bookmarkEnd w:id="393"/>
      <w:bookmarkStart w:id="394" w:name="_Toc512347061"/>
      <w:bookmarkEnd w:id="394"/>
      <w:bookmarkStart w:id="395" w:name="_Toc513234299"/>
      <w:bookmarkEnd w:id="395"/>
      <w:bookmarkStart w:id="396" w:name="_Toc450682850"/>
      <w:bookmarkStart w:id="397" w:name="_Toc476948653"/>
      <w:bookmarkStart w:id="398" w:name="_Toc468718259"/>
      <w:bookmarkStart w:id="399" w:name="_Toc451590773"/>
      <w:bookmarkStart w:id="400" w:name="_Toc450729737"/>
      <w:bookmarkStart w:id="401" w:name="_Toc501358463"/>
      <w:bookmarkStart w:id="402" w:name="_Toc450835487"/>
      <w:bookmarkStart w:id="403" w:name="_Toc477380569"/>
      <w:bookmarkStart w:id="404" w:name="_Toc475375117"/>
      <w:bookmarkStart w:id="405" w:name="_Toc467074902"/>
      <w:bookmarkStart w:id="406" w:name="_Toc491440230"/>
      <w:bookmarkStart w:id="407" w:name="_Toc452752564"/>
      <w:bookmarkStart w:id="408" w:name="_Toc467693313"/>
      <w:bookmarkStart w:id="409" w:name="_Toc495431171"/>
      <w:bookmarkStart w:id="410" w:name="_Toc478328985"/>
      <w:bookmarkStart w:id="411" w:name="_Toc452752358"/>
      <w:bookmarkStart w:id="412" w:name="_Toc477465956"/>
      <w:bookmarkStart w:id="413" w:name="_Toc450838126"/>
      <w:bookmarkStart w:id="414" w:name="_Toc477502333"/>
      <w:bookmarkStart w:id="415" w:name="_Toc450838575"/>
      <w:bookmarkStart w:id="416" w:name="_Toc478411920"/>
      <w:bookmarkStart w:id="417" w:name="_Toc450851960"/>
      <w:bookmarkStart w:id="418" w:name="_Toc452758315"/>
      <w:bookmarkStart w:id="419" w:name="_Toc497749526"/>
      <w:bookmarkStart w:id="420" w:name="_Toc450836278"/>
      <w:bookmarkStart w:id="421" w:name="_Toc467526538"/>
      <w:bookmarkStart w:id="422" w:name="_Toc475194326"/>
    </w:p>
    <w:p>
      <w:pPr>
        <w:pStyle w:val="42"/>
        <w:numPr>
          <w:ilvl w:val="0"/>
          <w:numId w:val="0"/>
        </w:numPr>
        <w:spacing w:before="156" w:after="156"/>
        <w:ind w:firstLine="420" w:firstLineChars="200"/>
        <w:rPr>
          <w:rFonts w:hAnsi="黑体"/>
        </w:rPr>
      </w:pPr>
      <w:bookmarkStart w:id="423" w:name="_Toc504059380"/>
      <w:bookmarkStart w:id="424" w:name="_Toc511831657"/>
      <w:bookmarkStart w:id="425" w:name="_Toc511045319"/>
      <w:bookmarkStart w:id="426" w:name="_Toc513234300"/>
      <w:bookmarkStart w:id="427" w:name="_Toc512454210"/>
      <w:bookmarkStart w:id="428" w:name="_Toc512347062"/>
      <w:bookmarkStart w:id="429" w:name="_Toc510644183"/>
      <w:bookmarkStart w:id="430" w:name="_Toc513232431"/>
      <w:r>
        <w:rPr>
          <w:rFonts w:hAnsi="黑体"/>
        </w:rPr>
        <w:t xml:space="preserve">起火 </w:t>
      </w:r>
      <w:r>
        <w:rPr>
          <w:rFonts w:ascii="Times New Roman"/>
        </w:rPr>
        <w:t>fire</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23"/>
        <w:rPr>
          <w:rFonts w:ascii="Times New Roman"/>
        </w:rPr>
      </w:pPr>
      <w:bookmarkStart w:id="431" w:name="_Toc450682851"/>
      <w:bookmarkStart w:id="432" w:name="_Toc450729738"/>
      <w:r>
        <w:rPr>
          <w:rFonts w:hint="eastAsia" w:ascii="Times New Roman"/>
        </w:rPr>
        <w:t>电池单体</w:t>
      </w:r>
      <w:r>
        <w:rPr>
          <w:rFonts w:ascii="Times New Roman"/>
        </w:rPr>
        <w:t>、</w:t>
      </w:r>
      <w:r>
        <w:rPr>
          <w:rFonts w:hint="eastAsia" w:ascii="Times New Roman"/>
        </w:rPr>
        <w:t>模块</w:t>
      </w:r>
      <w:r>
        <w:rPr>
          <w:rFonts w:ascii="Times New Roman"/>
        </w:rPr>
        <w:t>、电池包或系统</w:t>
      </w:r>
      <w:r>
        <w:rPr>
          <w:rFonts w:hint="eastAsia" w:ascii="Times New Roman"/>
        </w:rPr>
        <w:t>任何部位</w:t>
      </w:r>
      <w:r>
        <w:rPr>
          <w:rFonts w:ascii="Times New Roman"/>
        </w:rPr>
        <w:t>发生持续燃烧（火焰持续时间大于</w:t>
      </w:r>
      <w:r>
        <w:rPr>
          <w:rFonts w:hint="eastAsia" w:ascii="Times New Roman"/>
        </w:rPr>
        <w:t>1</w:t>
      </w:r>
      <w:r>
        <w:rPr>
          <w:rFonts w:ascii="Times New Roman"/>
        </w:rPr>
        <w:t xml:space="preserve"> s）。火花及拉弧不属于燃烧。</w:t>
      </w:r>
      <w:bookmarkEnd w:id="431"/>
      <w:bookmarkEnd w:id="432"/>
    </w:p>
    <w:p>
      <w:pPr>
        <w:pStyle w:val="23"/>
        <w:ind w:firstLine="360"/>
        <w:rPr>
          <w:rFonts w:ascii="Times New Roman"/>
          <w:sz w:val="20"/>
        </w:rPr>
      </w:pPr>
      <w:r>
        <w:rPr>
          <w:rFonts w:hint="eastAsia" w:ascii="黑体" w:hAnsi="黑体" w:eastAsia="黑体"/>
          <w:sz w:val="18"/>
          <w:szCs w:val="18"/>
        </w:rPr>
        <w:t>注：</w:t>
      </w:r>
      <w:r>
        <w:rPr>
          <w:rFonts w:hint="eastAsia" w:hAnsi="宋体"/>
          <w:sz w:val="18"/>
          <w:szCs w:val="18"/>
        </w:rPr>
        <w:t>火焰持续时间大于</w:t>
      </w:r>
      <w:r>
        <w:rPr>
          <w:rFonts w:ascii="Times New Roman"/>
          <w:sz w:val="18"/>
          <w:szCs w:val="18"/>
        </w:rPr>
        <w:t>1 s</w:t>
      </w:r>
      <w:r>
        <w:rPr>
          <w:rFonts w:hAnsi="宋体"/>
          <w:sz w:val="18"/>
          <w:szCs w:val="18"/>
        </w:rPr>
        <w:t>是指单次火焰持续时间，而非多次火焰的累计时间。</w:t>
      </w:r>
    </w:p>
    <w:p>
      <w:pPr>
        <w:pStyle w:val="42"/>
        <w:spacing w:before="156" w:after="156"/>
        <w:ind w:left="0"/>
        <w:rPr>
          <w:rFonts w:ascii="Times New Roman" w:eastAsia="宋体"/>
        </w:rPr>
      </w:pPr>
      <w:bookmarkStart w:id="433" w:name="_Toc504059383"/>
      <w:bookmarkEnd w:id="433"/>
      <w:bookmarkStart w:id="434" w:name="_Toc511045320"/>
      <w:bookmarkEnd w:id="434"/>
      <w:bookmarkStart w:id="435" w:name="_Toc513234301"/>
      <w:bookmarkEnd w:id="435"/>
      <w:bookmarkStart w:id="436" w:name="_Toc513232432"/>
      <w:bookmarkEnd w:id="436"/>
      <w:bookmarkStart w:id="437" w:name="_Toc504059381"/>
      <w:bookmarkEnd w:id="437"/>
      <w:bookmarkStart w:id="438" w:name="_Toc511831660"/>
      <w:bookmarkEnd w:id="438"/>
      <w:bookmarkStart w:id="439" w:name="_Toc512454211"/>
      <w:bookmarkEnd w:id="439"/>
      <w:bookmarkStart w:id="440" w:name="_Toc512454213"/>
      <w:bookmarkEnd w:id="440"/>
      <w:bookmarkStart w:id="441" w:name="_Toc512347063"/>
      <w:bookmarkEnd w:id="441"/>
      <w:bookmarkStart w:id="442" w:name="_Toc512347065"/>
      <w:bookmarkEnd w:id="442"/>
      <w:bookmarkStart w:id="443" w:name="_Toc513234303"/>
      <w:bookmarkEnd w:id="443"/>
      <w:bookmarkStart w:id="444" w:name="_Toc510644184"/>
      <w:bookmarkEnd w:id="444"/>
      <w:bookmarkStart w:id="445" w:name="_Toc511045322"/>
      <w:bookmarkEnd w:id="445"/>
      <w:bookmarkStart w:id="446" w:name="_Toc513232434"/>
      <w:bookmarkEnd w:id="446"/>
      <w:bookmarkStart w:id="447" w:name="_Toc510644186"/>
      <w:bookmarkEnd w:id="447"/>
      <w:bookmarkStart w:id="448" w:name="_Toc511831658"/>
      <w:bookmarkEnd w:id="448"/>
      <w:bookmarkStart w:id="449" w:name="_Toc467693315"/>
      <w:bookmarkStart w:id="450" w:name="_Toc450851962"/>
      <w:bookmarkStart w:id="451" w:name="_Toc477380571"/>
      <w:bookmarkStart w:id="452" w:name="_Toc452752360"/>
      <w:bookmarkStart w:id="453" w:name="_Toc477465958"/>
      <w:bookmarkStart w:id="454" w:name="_Toc467074904"/>
      <w:bookmarkStart w:id="455" w:name="_Toc450836280"/>
      <w:bookmarkStart w:id="456" w:name="_Toc450835489"/>
      <w:bookmarkStart w:id="457" w:name="_Toc452758317"/>
      <w:bookmarkStart w:id="458" w:name="_Toc468718261"/>
      <w:bookmarkStart w:id="459" w:name="_Toc451590775"/>
      <w:bookmarkStart w:id="460" w:name="_Toc477502335"/>
      <w:bookmarkStart w:id="461" w:name="_Toc478328987"/>
      <w:bookmarkStart w:id="462" w:name="_Toc450729741"/>
      <w:bookmarkStart w:id="463" w:name="_Toc475375119"/>
      <w:bookmarkStart w:id="464" w:name="_Toc495431173"/>
      <w:bookmarkStart w:id="465" w:name="_Toc476948655"/>
      <w:bookmarkStart w:id="466" w:name="_Toc452752566"/>
      <w:bookmarkStart w:id="467" w:name="_Toc491440232"/>
      <w:bookmarkStart w:id="468" w:name="_Toc450682854"/>
      <w:bookmarkStart w:id="469" w:name="_Toc450838577"/>
      <w:bookmarkStart w:id="470" w:name="_Toc497749528"/>
      <w:bookmarkStart w:id="471" w:name="_Toc478411922"/>
      <w:bookmarkStart w:id="472" w:name="_Toc501358465"/>
      <w:bookmarkStart w:id="473" w:name="_Toc450838128"/>
      <w:bookmarkStart w:id="474" w:name="_Toc475194328"/>
      <w:bookmarkStart w:id="475" w:name="_Toc467526540"/>
    </w:p>
    <w:p>
      <w:pPr>
        <w:pStyle w:val="42"/>
        <w:numPr>
          <w:ilvl w:val="0"/>
          <w:numId w:val="0"/>
        </w:numPr>
        <w:spacing w:before="156" w:after="156"/>
        <w:ind w:firstLine="420" w:firstLineChars="200"/>
        <w:rPr>
          <w:rFonts w:hAnsi="黑体"/>
        </w:rPr>
      </w:pPr>
      <w:bookmarkStart w:id="476" w:name="_Toc513234304"/>
      <w:bookmarkStart w:id="477" w:name="_Toc510644187"/>
      <w:bookmarkStart w:id="478" w:name="_Toc512347066"/>
      <w:bookmarkStart w:id="479" w:name="_Toc511831661"/>
      <w:bookmarkStart w:id="480" w:name="_Toc511045323"/>
      <w:bookmarkStart w:id="481" w:name="_Toc513232435"/>
      <w:bookmarkStart w:id="482" w:name="_Toc504059384"/>
      <w:bookmarkStart w:id="483" w:name="_Toc512454214"/>
      <w:r>
        <w:rPr>
          <w:rFonts w:hint="eastAsia" w:hAnsi="黑体"/>
        </w:rPr>
        <w:t>外壳破裂</w:t>
      </w:r>
      <w:r>
        <w:rPr>
          <w:rFonts w:hAnsi="黑体"/>
        </w:rPr>
        <w:t xml:space="preserve"> </w:t>
      </w:r>
      <w:r>
        <w:rPr>
          <w:rFonts w:ascii="Times New Roman"/>
        </w:rPr>
        <w:t>housing crack</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23"/>
        <w:rPr>
          <w:rFonts w:ascii="Times New Roman"/>
        </w:rPr>
      </w:pPr>
      <w:bookmarkStart w:id="484" w:name="_Toc450682855"/>
      <w:bookmarkStart w:id="485" w:name="_Toc450729742"/>
      <w:r>
        <w:rPr>
          <w:rFonts w:ascii="Times New Roman"/>
        </w:rPr>
        <w:t>由于内部或外部因素引起电池</w:t>
      </w:r>
      <w:r>
        <w:rPr>
          <w:rFonts w:hint="eastAsia" w:ascii="Times New Roman"/>
        </w:rPr>
        <w:t>单体</w:t>
      </w:r>
      <w:r>
        <w:rPr>
          <w:rFonts w:ascii="Times New Roman"/>
        </w:rPr>
        <w:t>、</w:t>
      </w:r>
      <w:r>
        <w:rPr>
          <w:rFonts w:hint="eastAsia" w:ascii="Times New Roman"/>
        </w:rPr>
        <w:t>模块</w:t>
      </w:r>
      <w:r>
        <w:rPr>
          <w:rFonts w:ascii="Times New Roman"/>
        </w:rPr>
        <w:t>、电池</w:t>
      </w:r>
      <w:r>
        <w:rPr>
          <w:rFonts w:hint="eastAsia" w:ascii="Times New Roman"/>
        </w:rPr>
        <w:t>包或系统</w:t>
      </w:r>
      <w:r>
        <w:rPr>
          <w:rFonts w:ascii="Times New Roman"/>
        </w:rPr>
        <w:t>外壳的机械损伤，导致内部物质暴露或溢出。</w:t>
      </w:r>
      <w:bookmarkEnd w:id="484"/>
      <w:bookmarkEnd w:id="485"/>
    </w:p>
    <w:p>
      <w:pPr>
        <w:pStyle w:val="42"/>
        <w:spacing w:before="156" w:after="156"/>
        <w:ind w:left="0"/>
        <w:rPr>
          <w:rFonts w:ascii="Times New Roman" w:eastAsia="宋体"/>
        </w:rPr>
      </w:pPr>
      <w:bookmarkStart w:id="486" w:name="_Toc512347067"/>
      <w:bookmarkEnd w:id="486"/>
      <w:bookmarkStart w:id="487" w:name="_Toc504059385"/>
      <w:bookmarkEnd w:id="487"/>
      <w:bookmarkStart w:id="488" w:name="_Toc510644188"/>
      <w:bookmarkEnd w:id="488"/>
      <w:bookmarkStart w:id="489" w:name="_Toc511831662"/>
      <w:bookmarkEnd w:id="489"/>
      <w:bookmarkStart w:id="490" w:name="_Toc513232436"/>
      <w:bookmarkEnd w:id="490"/>
      <w:bookmarkStart w:id="491" w:name="_Toc511045324"/>
      <w:bookmarkEnd w:id="491"/>
      <w:bookmarkStart w:id="492" w:name="_Toc512454215"/>
      <w:bookmarkEnd w:id="492"/>
      <w:bookmarkStart w:id="493" w:name="_Toc513234305"/>
      <w:bookmarkEnd w:id="493"/>
      <w:bookmarkStart w:id="494" w:name="_Toc475194329"/>
      <w:bookmarkStart w:id="495" w:name="_Toc475375120"/>
      <w:bookmarkStart w:id="496" w:name="_Toc495431174"/>
      <w:bookmarkStart w:id="497" w:name="_Toc477380572"/>
      <w:bookmarkStart w:id="498" w:name="_Toc478411923"/>
      <w:bookmarkStart w:id="499" w:name="_Toc452752567"/>
      <w:bookmarkStart w:id="500" w:name="_Toc477465959"/>
      <w:bookmarkStart w:id="501" w:name="_Toc497749529"/>
      <w:bookmarkStart w:id="502" w:name="_Toc491440233"/>
      <w:bookmarkStart w:id="503" w:name="_Toc451590776"/>
      <w:bookmarkStart w:id="504" w:name="_Toc450835490"/>
      <w:bookmarkStart w:id="505" w:name="_Toc467693316"/>
      <w:bookmarkStart w:id="506" w:name="_Toc452752361"/>
      <w:bookmarkStart w:id="507" w:name="_Toc501358466"/>
      <w:bookmarkStart w:id="508" w:name="_Toc450851963"/>
      <w:bookmarkStart w:id="509" w:name="_Toc452758318"/>
      <w:bookmarkStart w:id="510" w:name="_Toc467526541"/>
      <w:bookmarkStart w:id="511" w:name="_Toc467074905"/>
      <w:bookmarkStart w:id="512" w:name="_Toc450729743"/>
      <w:bookmarkStart w:id="513" w:name="_Toc478328988"/>
      <w:bookmarkStart w:id="514" w:name="_Toc450838129"/>
      <w:bookmarkStart w:id="515" w:name="_Toc450838578"/>
      <w:bookmarkStart w:id="516" w:name="_Toc476948656"/>
      <w:bookmarkStart w:id="517" w:name="_Toc450836281"/>
      <w:bookmarkStart w:id="518" w:name="_Toc450682856"/>
      <w:bookmarkStart w:id="519" w:name="_Toc468718262"/>
      <w:bookmarkStart w:id="520" w:name="_Toc477502336"/>
    </w:p>
    <w:p>
      <w:pPr>
        <w:pStyle w:val="42"/>
        <w:numPr>
          <w:ilvl w:val="0"/>
          <w:numId w:val="0"/>
        </w:numPr>
        <w:spacing w:before="156" w:after="156"/>
        <w:ind w:firstLine="420" w:firstLineChars="200"/>
        <w:rPr>
          <w:rFonts w:hAnsi="黑体"/>
        </w:rPr>
      </w:pPr>
      <w:bookmarkStart w:id="521" w:name="_Toc513232437"/>
      <w:bookmarkStart w:id="522" w:name="_Toc512454216"/>
      <w:bookmarkStart w:id="523" w:name="_Toc511045325"/>
      <w:bookmarkStart w:id="524" w:name="_Toc512347068"/>
      <w:bookmarkStart w:id="525" w:name="_Toc513234306"/>
      <w:bookmarkStart w:id="526" w:name="_Toc510644189"/>
      <w:bookmarkStart w:id="527" w:name="_Toc511831663"/>
      <w:bookmarkStart w:id="528" w:name="_Toc504059386"/>
      <w:r>
        <w:rPr>
          <w:rFonts w:hAnsi="黑体"/>
        </w:rPr>
        <w:t xml:space="preserve">泄漏 </w:t>
      </w:r>
      <w:r>
        <w:rPr>
          <w:rFonts w:ascii="Times New Roman"/>
        </w:rPr>
        <w:t>leakage</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23"/>
        <w:rPr>
          <w:rFonts w:ascii="Times New Roman"/>
        </w:rPr>
      </w:pPr>
      <w:bookmarkStart w:id="529" w:name="_Toc450729744"/>
      <w:bookmarkStart w:id="530" w:name="_Toc450682857"/>
      <w:r>
        <w:rPr>
          <w:rFonts w:ascii="Times New Roman"/>
        </w:rPr>
        <w:t>有可见物质从电池单体、模块、电池包或系统中漏出至试验对象外部的现象。</w:t>
      </w:r>
      <w:bookmarkEnd w:id="529"/>
      <w:bookmarkEnd w:id="530"/>
    </w:p>
    <w:p>
      <w:pPr>
        <w:pStyle w:val="23"/>
        <w:ind w:firstLine="360"/>
        <w:rPr>
          <w:rFonts w:ascii="黑体" w:hAnsi="黑体" w:eastAsia="黑体"/>
          <w:sz w:val="18"/>
          <w:szCs w:val="18"/>
        </w:rPr>
      </w:pPr>
      <w:bookmarkStart w:id="531" w:name="_Toc504059387"/>
      <w:bookmarkEnd w:id="531"/>
      <w:bookmarkStart w:id="532" w:name="_Toc478411924"/>
      <w:bookmarkStart w:id="533" w:name="_Toc477465960"/>
      <w:bookmarkStart w:id="534" w:name="_Toc501358467"/>
      <w:bookmarkStart w:id="535" w:name="_Toc477380573"/>
      <w:bookmarkStart w:id="536" w:name="_Toc495431175"/>
      <w:bookmarkStart w:id="537" w:name="_Toc477502337"/>
      <w:bookmarkStart w:id="538" w:name="_Toc491440234"/>
      <w:bookmarkStart w:id="539" w:name="_Toc476948657"/>
      <w:bookmarkStart w:id="540" w:name="_Toc497749530"/>
      <w:bookmarkStart w:id="541" w:name="_Toc478328989"/>
      <w:r>
        <w:rPr>
          <w:rFonts w:hint="eastAsia" w:ascii="黑体" w:hAnsi="黑体" w:eastAsia="黑体"/>
          <w:sz w:val="18"/>
          <w:szCs w:val="18"/>
        </w:rPr>
        <w:t>注：</w:t>
      </w:r>
      <w:r>
        <w:rPr>
          <w:rFonts w:ascii="黑体" w:hAnsi="黑体" w:eastAsia="黑体"/>
          <w:color w:val="000000"/>
          <w:kern w:val="2"/>
          <w:sz w:val="18"/>
          <w:szCs w:val="18"/>
        </w:rPr>
        <w:t>可见物质应在不拆卸</w:t>
      </w:r>
      <w:r>
        <w:rPr>
          <w:rFonts w:hint="eastAsia" w:ascii="黑体" w:hAnsi="黑体" w:eastAsia="黑体"/>
          <w:color w:val="000000"/>
          <w:kern w:val="2"/>
          <w:sz w:val="18"/>
          <w:szCs w:val="18"/>
        </w:rPr>
        <w:t>试验</w:t>
      </w:r>
      <w:r>
        <w:rPr>
          <w:rFonts w:ascii="黑体" w:hAnsi="黑体" w:eastAsia="黑体"/>
          <w:color w:val="000000"/>
          <w:kern w:val="2"/>
          <w:sz w:val="18"/>
          <w:szCs w:val="18"/>
        </w:rPr>
        <w:t>对象的情况下通过目视判断。</w:t>
      </w:r>
    </w:p>
    <w:p>
      <w:pPr>
        <w:pStyle w:val="23"/>
        <w:ind w:firstLine="360"/>
        <w:rPr>
          <w:rFonts w:ascii="Times New Roman"/>
          <w:sz w:val="18"/>
          <w:szCs w:val="18"/>
        </w:rPr>
      </w:pPr>
    </w:p>
    <w:p>
      <w:pPr>
        <w:pStyle w:val="42"/>
        <w:spacing w:before="156" w:after="156"/>
        <w:ind w:left="0"/>
        <w:rPr>
          <w:rFonts w:ascii="Times New Roman" w:eastAsia="宋体"/>
        </w:rPr>
      </w:pPr>
    </w:p>
    <w:p>
      <w:pPr>
        <w:pStyle w:val="42"/>
        <w:numPr>
          <w:ilvl w:val="0"/>
          <w:numId w:val="0"/>
        </w:numPr>
        <w:spacing w:before="156" w:after="156"/>
        <w:ind w:firstLine="420" w:firstLineChars="200"/>
        <w:rPr>
          <w:rFonts w:hAnsi="黑体"/>
        </w:rPr>
      </w:pPr>
      <w:r>
        <w:rPr>
          <w:rFonts w:hint="eastAsia" w:hAnsi="黑体"/>
        </w:rPr>
        <w:t xml:space="preserve">热事件 </w:t>
      </w:r>
      <w:r>
        <w:rPr>
          <w:rFonts w:hint="default" w:ascii="Times New Roman" w:hAnsi="Times New Roman" w:cs="Times New Roman"/>
        </w:rPr>
        <w:t>thermal event</w:t>
      </w:r>
    </w:p>
    <w:p>
      <w:pPr>
        <w:pStyle w:val="23"/>
      </w:pPr>
      <w:r>
        <w:rPr>
          <w:rFonts w:ascii="Times New Roman" w:hAnsi="宋体" w:cs="宋体"/>
        </w:rPr>
        <w:t>温度显著高于</w:t>
      </w:r>
      <w:r>
        <w:rPr>
          <w:rFonts w:hint="eastAsia" w:ascii="Times New Roman" w:hAnsi="宋体" w:cs="宋体"/>
        </w:rPr>
        <w:t>制造商定义的</w:t>
      </w:r>
      <w:r>
        <w:rPr>
          <w:rFonts w:ascii="Times New Roman" w:hAnsi="宋体" w:cs="宋体"/>
        </w:rPr>
        <w:t>最高工作温度的</w:t>
      </w:r>
      <w:r>
        <w:rPr>
          <w:rFonts w:hint="eastAsia" w:ascii="Times New Roman" w:hAnsi="宋体" w:cs="宋体"/>
        </w:rPr>
        <w:t>现象。</w:t>
      </w:r>
    </w:p>
    <w:p>
      <w:pPr>
        <w:pStyle w:val="23"/>
      </w:pPr>
    </w:p>
    <w:bookmarkEnd w:id="532"/>
    <w:bookmarkEnd w:id="533"/>
    <w:bookmarkEnd w:id="534"/>
    <w:bookmarkEnd w:id="535"/>
    <w:bookmarkEnd w:id="536"/>
    <w:bookmarkEnd w:id="537"/>
    <w:bookmarkEnd w:id="538"/>
    <w:bookmarkEnd w:id="539"/>
    <w:bookmarkEnd w:id="540"/>
    <w:bookmarkEnd w:id="541"/>
    <w:p>
      <w:pPr>
        <w:pStyle w:val="42"/>
        <w:spacing w:before="156" w:after="156"/>
        <w:ind w:left="0"/>
        <w:rPr>
          <w:rFonts w:ascii="Times New Roman" w:eastAsia="宋体"/>
        </w:rPr>
      </w:pPr>
      <w:bookmarkStart w:id="542" w:name="_Toc504059389"/>
      <w:bookmarkEnd w:id="542"/>
      <w:bookmarkStart w:id="543" w:name="_Toc504059391"/>
      <w:bookmarkEnd w:id="543"/>
      <w:bookmarkStart w:id="544" w:name="_Toc510644194"/>
      <w:bookmarkEnd w:id="544"/>
      <w:bookmarkStart w:id="545" w:name="_Toc513232441"/>
      <w:bookmarkEnd w:id="545"/>
      <w:bookmarkStart w:id="546" w:name="_Toc513232439"/>
      <w:bookmarkEnd w:id="546"/>
      <w:bookmarkStart w:id="547" w:name="_Toc511831666"/>
      <w:bookmarkEnd w:id="547"/>
      <w:bookmarkStart w:id="548" w:name="_Toc504059393"/>
      <w:bookmarkEnd w:id="548"/>
      <w:bookmarkStart w:id="549" w:name="_Toc513232445"/>
      <w:bookmarkEnd w:id="549"/>
      <w:bookmarkStart w:id="550" w:name="_Toc513232443"/>
      <w:bookmarkEnd w:id="550"/>
      <w:bookmarkStart w:id="551" w:name="_Toc511831664"/>
      <w:bookmarkEnd w:id="551"/>
      <w:bookmarkStart w:id="552" w:name="_Toc510644190"/>
      <w:bookmarkEnd w:id="552"/>
      <w:bookmarkStart w:id="553" w:name="_Toc510644195"/>
      <w:bookmarkEnd w:id="553"/>
      <w:bookmarkStart w:id="554" w:name="_Toc513234307"/>
      <w:bookmarkEnd w:id="554"/>
      <w:bookmarkStart w:id="555" w:name="_Toc513232444"/>
      <w:bookmarkEnd w:id="555"/>
      <w:bookmarkStart w:id="556" w:name="_Toc511045326"/>
      <w:bookmarkEnd w:id="556"/>
      <w:bookmarkStart w:id="557" w:name="_Toc513234309"/>
      <w:bookmarkEnd w:id="557"/>
      <w:bookmarkStart w:id="558" w:name="_Toc512347073"/>
      <w:bookmarkEnd w:id="558"/>
      <w:bookmarkStart w:id="559" w:name="_Toc513232440"/>
      <w:bookmarkEnd w:id="559"/>
      <w:bookmarkStart w:id="560" w:name="_Toc513234308"/>
      <w:bookmarkEnd w:id="560"/>
      <w:bookmarkStart w:id="561" w:name="_Toc512347069"/>
      <w:bookmarkEnd w:id="561"/>
      <w:bookmarkStart w:id="562" w:name="_Toc512454219"/>
      <w:bookmarkEnd w:id="562"/>
      <w:bookmarkStart w:id="563" w:name="_Toc511045328"/>
      <w:bookmarkEnd w:id="563"/>
      <w:bookmarkStart w:id="564" w:name="_Toc512454221"/>
      <w:bookmarkEnd w:id="564"/>
      <w:bookmarkStart w:id="565" w:name="_Toc513232442"/>
      <w:bookmarkEnd w:id="565"/>
      <w:bookmarkStart w:id="566" w:name="_Toc510644192"/>
      <w:bookmarkEnd w:id="566"/>
      <w:bookmarkStart w:id="567" w:name="_Toc511045331"/>
      <w:bookmarkEnd w:id="567"/>
      <w:bookmarkStart w:id="568" w:name="_Toc513232438"/>
      <w:bookmarkEnd w:id="568"/>
      <w:bookmarkStart w:id="569" w:name="_Toc512454217"/>
      <w:bookmarkEnd w:id="569"/>
      <w:bookmarkStart w:id="570" w:name="_Toc512347071"/>
      <w:bookmarkEnd w:id="570"/>
      <w:bookmarkStart w:id="571" w:name="_Toc511045330"/>
      <w:bookmarkEnd w:id="571"/>
      <w:bookmarkStart w:id="572" w:name="_Toc511831668"/>
      <w:bookmarkEnd w:id="572"/>
      <w:bookmarkStart w:id="573" w:name="_Toc475194330"/>
      <w:bookmarkStart w:id="574" w:name="_Toc491440237"/>
      <w:bookmarkStart w:id="575" w:name="_Toc450836282"/>
      <w:bookmarkStart w:id="576" w:name="_Toc467693317"/>
      <w:bookmarkStart w:id="577" w:name="_Toc450682858"/>
      <w:bookmarkStart w:id="578" w:name="_Toc476948660"/>
      <w:bookmarkStart w:id="579" w:name="_Toc450838579"/>
      <w:bookmarkStart w:id="580" w:name="_Toc452758319"/>
      <w:bookmarkStart w:id="581" w:name="_Toc478411927"/>
      <w:bookmarkStart w:id="582" w:name="_Toc477502340"/>
      <w:bookmarkStart w:id="583" w:name="_Toc477380577"/>
      <w:bookmarkStart w:id="584" w:name="_Toc501358470"/>
      <w:bookmarkStart w:id="585" w:name="_Toc468718263"/>
      <w:bookmarkStart w:id="586" w:name="_Toc452752568"/>
      <w:bookmarkStart w:id="587" w:name="_Toc450838130"/>
      <w:bookmarkStart w:id="588" w:name="_Toc452752362"/>
      <w:bookmarkStart w:id="589" w:name="_Toc450851964"/>
      <w:bookmarkStart w:id="590" w:name="_Toc450835491"/>
      <w:bookmarkStart w:id="591" w:name="_Toc450729745"/>
      <w:bookmarkStart w:id="592" w:name="_Toc495431178"/>
      <w:bookmarkStart w:id="593" w:name="_Toc467526542"/>
      <w:bookmarkStart w:id="594" w:name="_Toc467074906"/>
      <w:bookmarkStart w:id="595" w:name="_Toc451590777"/>
      <w:bookmarkStart w:id="596" w:name="_Toc497749533"/>
      <w:bookmarkStart w:id="597" w:name="_Toc478328992"/>
      <w:bookmarkStart w:id="598" w:name="_Toc477465963"/>
      <w:bookmarkStart w:id="599" w:name="_Toc475375121"/>
    </w:p>
    <w:p>
      <w:pPr>
        <w:pStyle w:val="42"/>
        <w:numPr>
          <w:ilvl w:val="0"/>
          <w:numId w:val="0"/>
        </w:numPr>
        <w:spacing w:before="156" w:after="156"/>
        <w:ind w:firstLine="420" w:firstLineChars="200"/>
        <w:rPr>
          <w:rFonts w:hAnsi="黑体"/>
        </w:rPr>
      </w:pPr>
      <w:bookmarkStart w:id="600" w:name="_Toc511045332"/>
      <w:bookmarkStart w:id="601" w:name="_Toc512347074"/>
      <w:bookmarkStart w:id="602" w:name="_Toc504059394"/>
      <w:bookmarkStart w:id="603" w:name="_Toc513234310"/>
      <w:bookmarkStart w:id="604" w:name="_Toc512454222"/>
      <w:bookmarkStart w:id="605" w:name="_Toc510644196"/>
      <w:bookmarkStart w:id="606" w:name="_Toc511831669"/>
      <w:bookmarkStart w:id="607" w:name="_Toc513232446"/>
      <w:r>
        <w:rPr>
          <w:rFonts w:hAnsi="黑体"/>
        </w:rPr>
        <w:t xml:space="preserve">热失控 </w:t>
      </w:r>
      <w:r>
        <w:rPr>
          <w:rFonts w:ascii="Times New Roman"/>
        </w:rPr>
        <w:t>thermal runaway</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23"/>
        <w:rPr>
          <w:rFonts w:ascii="Times New Roman"/>
        </w:rPr>
      </w:pPr>
      <w:bookmarkStart w:id="608" w:name="_Toc450682859"/>
      <w:bookmarkStart w:id="609" w:name="_Toc450729746"/>
      <w:r>
        <w:rPr>
          <w:rFonts w:hint="eastAsia"/>
        </w:rPr>
        <w:t>电池单体</w:t>
      </w:r>
      <w:r>
        <w:t>放热连锁</w:t>
      </w:r>
      <w:r>
        <w:rPr>
          <w:rFonts w:hint="eastAsia"/>
        </w:rPr>
        <w:t>反应引起电池温度</w:t>
      </w:r>
      <w:r>
        <w:t>不可控</w:t>
      </w:r>
      <w:r>
        <w:rPr>
          <w:rFonts w:hint="eastAsia"/>
        </w:rPr>
        <w:t>上升的现象</w:t>
      </w:r>
      <w:bookmarkEnd w:id="608"/>
      <w:bookmarkEnd w:id="609"/>
      <w:r>
        <w:rPr>
          <w:rFonts w:hint="eastAsia" w:ascii="Times New Roman"/>
        </w:rPr>
        <w:t>。</w:t>
      </w:r>
    </w:p>
    <w:p>
      <w:pPr>
        <w:pStyle w:val="42"/>
        <w:spacing w:before="156" w:after="156"/>
        <w:ind w:left="0"/>
        <w:rPr>
          <w:rFonts w:ascii="Times New Roman" w:eastAsia="宋体"/>
        </w:rPr>
      </w:pPr>
      <w:bookmarkStart w:id="610" w:name="_Toc511045333"/>
      <w:bookmarkEnd w:id="610"/>
      <w:bookmarkStart w:id="611" w:name="_Toc510644197"/>
      <w:bookmarkEnd w:id="611"/>
      <w:bookmarkStart w:id="612" w:name="_Toc513234311"/>
      <w:bookmarkEnd w:id="612"/>
      <w:bookmarkStart w:id="613" w:name="_Toc513232447"/>
      <w:bookmarkEnd w:id="613"/>
      <w:bookmarkStart w:id="614" w:name="_Toc512347075"/>
      <w:bookmarkEnd w:id="614"/>
      <w:bookmarkStart w:id="615" w:name="_Toc511831670"/>
      <w:bookmarkEnd w:id="615"/>
      <w:bookmarkStart w:id="616" w:name="_Toc504059395"/>
      <w:bookmarkEnd w:id="616"/>
      <w:bookmarkStart w:id="617" w:name="_Toc512454223"/>
      <w:bookmarkEnd w:id="617"/>
      <w:bookmarkStart w:id="618" w:name="_Toc491440238"/>
      <w:bookmarkStart w:id="619" w:name="_Toc477465964"/>
      <w:bookmarkStart w:id="620" w:name="_Toc468729485"/>
      <w:bookmarkStart w:id="621" w:name="_Toc478328993"/>
      <w:bookmarkStart w:id="622" w:name="_Toc477502341"/>
      <w:bookmarkStart w:id="623" w:name="_Toc478411928"/>
      <w:bookmarkStart w:id="624" w:name="_Toc501358471"/>
      <w:bookmarkStart w:id="625" w:name="_Toc477380578"/>
      <w:bookmarkStart w:id="626" w:name="_Toc476948661"/>
      <w:bookmarkStart w:id="627" w:name="_Toc495431179"/>
      <w:bookmarkStart w:id="628" w:name="_Toc497749534"/>
    </w:p>
    <w:p>
      <w:pPr>
        <w:pStyle w:val="42"/>
        <w:numPr>
          <w:ilvl w:val="0"/>
          <w:numId w:val="0"/>
        </w:numPr>
        <w:spacing w:before="156" w:after="156"/>
        <w:ind w:firstLine="420" w:firstLineChars="200"/>
        <w:rPr>
          <w:rFonts w:hAnsi="黑体"/>
        </w:rPr>
      </w:pPr>
      <w:bookmarkStart w:id="629" w:name="_Toc512454224"/>
      <w:bookmarkStart w:id="630" w:name="_Toc513232448"/>
      <w:bookmarkStart w:id="631" w:name="_Toc512347076"/>
      <w:bookmarkStart w:id="632" w:name="_Toc513234312"/>
      <w:bookmarkStart w:id="633" w:name="_Toc511831671"/>
      <w:bookmarkStart w:id="634" w:name="_Toc510644198"/>
      <w:bookmarkStart w:id="635" w:name="_Toc504059396"/>
      <w:bookmarkStart w:id="636" w:name="_Toc511045334"/>
      <w:r>
        <w:rPr>
          <w:rFonts w:hint="eastAsia" w:hAnsi="黑体"/>
        </w:rPr>
        <w:t xml:space="preserve">热扩散 </w:t>
      </w:r>
      <w:r>
        <w:rPr>
          <w:rFonts w:ascii="Times New Roman"/>
        </w:rPr>
        <w:t>thermal propagation</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23"/>
      </w:pPr>
      <w:r>
        <w:rPr>
          <w:rFonts w:hint="eastAsia" w:ascii="Times New Roman"/>
        </w:rPr>
        <w:t>电池包或系统内由一个电池单体热失控引发的其余电池单体接连发生热失控的现象。</w:t>
      </w:r>
    </w:p>
    <w:p>
      <w:pPr>
        <w:pStyle w:val="42"/>
        <w:spacing w:before="156" w:after="156"/>
        <w:ind w:left="0"/>
        <w:rPr>
          <w:rFonts w:ascii="Times New Roman" w:eastAsia="宋体"/>
        </w:rPr>
      </w:pPr>
      <w:bookmarkStart w:id="637" w:name="_Toc512454225"/>
      <w:bookmarkEnd w:id="637"/>
      <w:bookmarkStart w:id="638" w:name="_Toc510644199"/>
      <w:bookmarkEnd w:id="638"/>
      <w:bookmarkStart w:id="639" w:name="_Toc511045335"/>
      <w:bookmarkEnd w:id="639"/>
      <w:bookmarkStart w:id="640" w:name="_Toc513232449"/>
      <w:bookmarkEnd w:id="640"/>
      <w:bookmarkStart w:id="641" w:name="_Toc504059397"/>
      <w:bookmarkEnd w:id="641"/>
      <w:bookmarkStart w:id="642" w:name="_Toc511831672"/>
      <w:bookmarkEnd w:id="642"/>
      <w:bookmarkStart w:id="643" w:name="_Toc513234313"/>
      <w:bookmarkEnd w:id="643"/>
      <w:bookmarkStart w:id="644" w:name="_Toc512347077"/>
      <w:bookmarkEnd w:id="644"/>
      <w:bookmarkStart w:id="645" w:name="_Toc477380579"/>
      <w:bookmarkStart w:id="646" w:name="_Toc467526544"/>
      <w:bookmarkStart w:id="647" w:name="_Toc450836286"/>
      <w:bookmarkStart w:id="648" w:name="_Toc467074908"/>
      <w:bookmarkStart w:id="649" w:name="_Toc452758322"/>
      <w:bookmarkStart w:id="650" w:name="_Toc477502342"/>
      <w:bookmarkStart w:id="651" w:name="_Toc477465965"/>
      <w:bookmarkStart w:id="652" w:name="_Toc452752571"/>
      <w:bookmarkStart w:id="653" w:name="_Toc450682866"/>
      <w:bookmarkStart w:id="654" w:name="_Toc495431180"/>
      <w:bookmarkStart w:id="655" w:name="_Toc450838134"/>
      <w:bookmarkStart w:id="656" w:name="_Toc468718265"/>
      <w:bookmarkStart w:id="657" w:name="_Toc467693319"/>
      <w:bookmarkStart w:id="658" w:name="_Toc478411929"/>
      <w:bookmarkStart w:id="659" w:name="_Toc491440239"/>
      <w:bookmarkStart w:id="660" w:name="_Toc450729753"/>
      <w:bookmarkStart w:id="661" w:name="_Toc450838583"/>
      <w:bookmarkStart w:id="662" w:name="_Toc450835495"/>
      <w:bookmarkStart w:id="663" w:name="_Toc497749535"/>
      <w:bookmarkStart w:id="664" w:name="_Toc475194332"/>
      <w:bookmarkStart w:id="665" w:name="_Toc451590781"/>
      <w:bookmarkStart w:id="666" w:name="_Toc475375123"/>
      <w:bookmarkStart w:id="667" w:name="_Toc478328994"/>
      <w:bookmarkStart w:id="668" w:name="_Toc450851968"/>
      <w:bookmarkStart w:id="669" w:name="_Toc452752365"/>
      <w:bookmarkStart w:id="670" w:name="_Toc476948662"/>
      <w:bookmarkStart w:id="671" w:name="_Toc501358472"/>
    </w:p>
    <w:p>
      <w:pPr>
        <w:pStyle w:val="42"/>
        <w:numPr>
          <w:ilvl w:val="0"/>
          <w:numId w:val="0"/>
        </w:numPr>
        <w:spacing w:before="156" w:after="156"/>
        <w:ind w:firstLine="420" w:firstLineChars="200"/>
        <w:rPr>
          <w:rFonts w:hAnsi="黑体"/>
        </w:rPr>
      </w:pPr>
      <w:bookmarkStart w:id="672" w:name="_Toc511831673"/>
      <w:bookmarkStart w:id="673" w:name="_Toc504059398"/>
      <w:bookmarkStart w:id="674" w:name="_Toc513232450"/>
      <w:bookmarkStart w:id="675" w:name="_Toc511045336"/>
      <w:bookmarkStart w:id="676" w:name="_Toc512454226"/>
      <w:bookmarkStart w:id="677" w:name="_Toc512347078"/>
      <w:bookmarkStart w:id="678" w:name="_Toc510644200"/>
      <w:bookmarkStart w:id="679" w:name="_Toc513234314"/>
      <w:r>
        <w:rPr>
          <w:rFonts w:hAnsi="黑体"/>
        </w:rPr>
        <w:t>充电</w:t>
      </w:r>
      <w:r>
        <w:rPr>
          <w:rFonts w:hint="eastAsia" w:hAnsi="黑体"/>
        </w:rPr>
        <w:t>终止</w:t>
      </w:r>
      <w:r>
        <w:rPr>
          <w:rFonts w:hAnsi="黑体"/>
        </w:rPr>
        <w:t xml:space="preserve">电压 </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Fonts w:ascii="Times New Roman"/>
        </w:rPr>
        <w:t>end-of-charge voltage</w:t>
      </w:r>
      <w:bookmarkEnd w:id="671"/>
      <w:bookmarkEnd w:id="672"/>
      <w:bookmarkEnd w:id="673"/>
      <w:bookmarkEnd w:id="674"/>
      <w:bookmarkEnd w:id="675"/>
      <w:bookmarkEnd w:id="676"/>
      <w:bookmarkEnd w:id="677"/>
      <w:bookmarkEnd w:id="678"/>
      <w:bookmarkEnd w:id="679"/>
    </w:p>
    <w:p>
      <w:pPr>
        <w:pStyle w:val="23"/>
        <w:rPr>
          <w:rFonts w:ascii="Times New Roman"/>
        </w:rPr>
      </w:pPr>
      <w:bookmarkStart w:id="680" w:name="_Toc450729754"/>
      <w:bookmarkStart w:id="681" w:name="_Toc450682867"/>
      <w:r>
        <w:rPr>
          <w:rFonts w:hint="eastAsia" w:ascii="Times New Roman"/>
        </w:rPr>
        <w:t>电池单体、模块</w:t>
      </w:r>
      <w:r>
        <w:rPr>
          <w:rFonts w:ascii="Times New Roman"/>
        </w:rPr>
        <w:t>、</w:t>
      </w:r>
      <w:r>
        <w:rPr>
          <w:rFonts w:hint="eastAsia" w:ascii="Times New Roman"/>
        </w:rPr>
        <w:t>电池包或系统正常充电时允许达到的最高电压</w:t>
      </w:r>
      <w:r>
        <w:rPr>
          <w:rFonts w:ascii="Times New Roman"/>
        </w:rPr>
        <w:t>。</w:t>
      </w:r>
      <w:bookmarkEnd w:id="680"/>
      <w:bookmarkEnd w:id="681"/>
    </w:p>
    <w:p>
      <w:pPr>
        <w:pStyle w:val="42"/>
        <w:spacing w:before="156" w:after="156"/>
        <w:ind w:left="0"/>
        <w:rPr>
          <w:rFonts w:ascii="Times New Roman" w:eastAsia="宋体"/>
        </w:rPr>
      </w:pPr>
      <w:bookmarkStart w:id="682" w:name="_Toc513234315"/>
      <w:bookmarkEnd w:id="682"/>
      <w:bookmarkStart w:id="683" w:name="_Toc511045337"/>
      <w:bookmarkEnd w:id="683"/>
      <w:bookmarkStart w:id="684" w:name="_Toc513232451"/>
      <w:bookmarkEnd w:id="684"/>
      <w:bookmarkStart w:id="685" w:name="_Toc512347079"/>
      <w:bookmarkEnd w:id="685"/>
      <w:bookmarkStart w:id="686" w:name="_Toc504059399"/>
      <w:bookmarkEnd w:id="686"/>
      <w:bookmarkStart w:id="687" w:name="_Toc511831674"/>
      <w:bookmarkEnd w:id="687"/>
      <w:bookmarkStart w:id="688" w:name="_Toc510644201"/>
      <w:bookmarkEnd w:id="688"/>
      <w:bookmarkStart w:id="689" w:name="_Toc512454227"/>
      <w:bookmarkEnd w:id="689"/>
      <w:bookmarkStart w:id="690" w:name="_Toc450838584"/>
      <w:bookmarkStart w:id="691" w:name="_Toc497749536"/>
      <w:bookmarkStart w:id="692" w:name="_Toc450835496"/>
      <w:bookmarkStart w:id="693" w:name="_Toc452752572"/>
      <w:bookmarkStart w:id="694" w:name="_Toc450838135"/>
      <w:bookmarkStart w:id="695" w:name="_Toc452752366"/>
      <w:bookmarkStart w:id="696" w:name="_Toc451590782"/>
      <w:bookmarkStart w:id="697" w:name="_Toc452758323"/>
      <w:bookmarkStart w:id="698" w:name="_Toc467693320"/>
      <w:bookmarkStart w:id="699" w:name="_Toc467074909"/>
      <w:bookmarkStart w:id="700" w:name="_Toc477502343"/>
      <w:bookmarkStart w:id="701" w:name="_Toc478411930"/>
      <w:bookmarkStart w:id="702" w:name="_Toc475194333"/>
      <w:bookmarkStart w:id="703" w:name="_Toc476948663"/>
      <w:bookmarkStart w:id="704" w:name="_Toc468718266"/>
      <w:bookmarkStart w:id="705" w:name="_Toc450851969"/>
      <w:bookmarkStart w:id="706" w:name="_Toc475375124"/>
      <w:bookmarkStart w:id="707" w:name="_Toc477380580"/>
      <w:bookmarkStart w:id="708" w:name="_Toc478328995"/>
      <w:bookmarkStart w:id="709" w:name="_Toc467526545"/>
      <w:bookmarkStart w:id="710" w:name="_Toc495431181"/>
      <w:bookmarkStart w:id="711" w:name="_Toc491440240"/>
      <w:bookmarkStart w:id="712" w:name="_Toc450836287"/>
      <w:bookmarkStart w:id="713" w:name="_Toc450729755"/>
      <w:bookmarkStart w:id="714" w:name="_Toc450682868"/>
      <w:bookmarkStart w:id="715" w:name="_Toc477465966"/>
      <w:bookmarkStart w:id="716" w:name="_Toc501358473"/>
    </w:p>
    <w:p>
      <w:pPr>
        <w:pStyle w:val="42"/>
        <w:numPr>
          <w:ilvl w:val="0"/>
          <w:numId w:val="0"/>
        </w:numPr>
        <w:spacing w:before="156" w:after="156"/>
        <w:ind w:firstLine="420" w:firstLineChars="200"/>
        <w:rPr>
          <w:rFonts w:hAnsi="黑体"/>
        </w:rPr>
      </w:pPr>
      <w:bookmarkStart w:id="717" w:name="_Toc511045338"/>
      <w:bookmarkStart w:id="718" w:name="_Toc512347080"/>
      <w:bookmarkStart w:id="719" w:name="_Toc512454228"/>
      <w:bookmarkStart w:id="720" w:name="_Toc513234316"/>
      <w:bookmarkStart w:id="721" w:name="_Toc504059400"/>
      <w:bookmarkStart w:id="722" w:name="_Toc511831675"/>
      <w:bookmarkStart w:id="723" w:name="_Toc510644202"/>
      <w:bookmarkStart w:id="724" w:name="_Toc513232452"/>
      <w:r>
        <w:rPr>
          <w:rFonts w:hAnsi="黑体"/>
        </w:rPr>
        <w:t>放电</w:t>
      </w:r>
      <w:r>
        <w:rPr>
          <w:rFonts w:hint="eastAsia" w:hAnsi="黑体"/>
        </w:rPr>
        <w:t>终止</w:t>
      </w:r>
      <w:r>
        <w:rPr>
          <w:rFonts w:hAnsi="黑体"/>
        </w:rPr>
        <w:t xml:space="preserve">电压 </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rFonts w:ascii="Times New Roman"/>
        </w:rPr>
        <w:t>end-of-discharge voltage</w:t>
      </w:r>
      <w:bookmarkEnd w:id="716"/>
      <w:bookmarkEnd w:id="717"/>
      <w:bookmarkEnd w:id="718"/>
      <w:bookmarkEnd w:id="719"/>
      <w:bookmarkEnd w:id="720"/>
      <w:bookmarkEnd w:id="721"/>
      <w:bookmarkEnd w:id="722"/>
      <w:bookmarkEnd w:id="723"/>
      <w:bookmarkEnd w:id="724"/>
    </w:p>
    <w:p>
      <w:pPr>
        <w:pStyle w:val="23"/>
        <w:rPr>
          <w:rFonts w:ascii="Times New Roman"/>
        </w:rPr>
      </w:pPr>
      <w:bookmarkStart w:id="725" w:name="_Toc450729756"/>
      <w:bookmarkStart w:id="726" w:name="_Toc450682869"/>
      <w:r>
        <w:rPr>
          <w:rFonts w:hint="eastAsia"/>
          <w:color w:val="000000" w:themeColor="text1"/>
          <w14:textFill>
            <w14:solidFill>
              <w14:schemeClr w14:val="tx1"/>
            </w14:solidFill>
          </w14:textFill>
        </w:rPr>
        <w:t>电池单体、模块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电池包或系统正常放电时允许达到的最低电压</w:t>
      </w:r>
      <w:r>
        <w:rPr>
          <w:rFonts w:ascii="Times New Roman"/>
        </w:rPr>
        <w:t>。</w:t>
      </w:r>
      <w:bookmarkEnd w:id="725"/>
      <w:bookmarkEnd w:id="726"/>
    </w:p>
    <w:p>
      <w:pPr>
        <w:pStyle w:val="45"/>
        <w:spacing w:before="312" w:after="312"/>
        <w:rPr>
          <w:rFonts w:ascii="Times New Roman"/>
        </w:rPr>
      </w:pPr>
      <w:bookmarkStart w:id="727" w:name="_Toc513234317"/>
      <w:r>
        <w:rPr>
          <w:rFonts w:hint="eastAsia" w:ascii="Times New Roman"/>
        </w:rPr>
        <w:t>符号和缩略语</w:t>
      </w:r>
      <w:bookmarkEnd w:id="727"/>
    </w:p>
    <w:p>
      <w:pPr>
        <w:pStyle w:val="42"/>
        <w:spacing w:before="156" w:after="156"/>
        <w:ind w:left="0"/>
        <w:rPr>
          <w:rFonts w:ascii="Times New Roman"/>
          <w:color w:val="000000" w:themeColor="text1"/>
          <w:szCs w:val="20"/>
          <w14:textFill>
            <w14:solidFill>
              <w14:schemeClr w14:val="tx1"/>
            </w14:solidFill>
          </w14:textFill>
        </w:rPr>
      </w:pPr>
      <w:r>
        <w:rPr>
          <w:rFonts w:hint="eastAsia" w:ascii="Times New Roman"/>
          <w:color w:val="000000" w:themeColor="text1"/>
          <w:szCs w:val="20"/>
          <w14:textFill>
            <w14:solidFill>
              <w14:schemeClr w14:val="tx1"/>
            </w14:solidFill>
          </w14:textFill>
        </w:rPr>
        <w:t>缩略语</w:t>
      </w:r>
    </w:p>
    <w:p>
      <w:pPr>
        <w:pStyle w:val="23"/>
      </w:pPr>
      <w:r>
        <w:rPr>
          <w:rFonts w:hint="eastAsia"/>
        </w:rPr>
        <w:t>下列缩略语适用于本文件。</w:t>
      </w:r>
    </w:p>
    <w:p>
      <w:pPr>
        <w:pStyle w:val="23"/>
      </w:pPr>
      <w:r>
        <w:rPr>
          <w:rFonts w:ascii="Times New Roman"/>
        </w:rPr>
        <w:t>BCU</w:t>
      </w:r>
      <w:r>
        <w:rPr>
          <w:rFonts w:hint="eastAsia"/>
        </w:rPr>
        <w:t>：</w:t>
      </w:r>
      <w:r>
        <w:t>电池控制单元</w:t>
      </w:r>
      <w:r>
        <w:rPr>
          <w:rFonts w:hint="eastAsia"/>
        </w:rPr>
        <w:t>（</w:t>
      </w:r>
      <w:r>
        <w:rPr>
          <w:rFonts w:ascii="Times New Roman"/>
        </w:rPr>
        <w:t>battery control unit</w:t>
      </w:r>
      <w:r>
        <w:rPr>
          <w:rFonts w:hint="eastAsia"/>
        </w:rPr>
        <w:t>）</w:t>
      </w:r>
    </w:p>
    <w:p>
      <w:pPr>
        <w:pStyle w:val="23"/>
        <w:rPr>
          <w:rFonts w:ascii="Times New Roman"/>
        </w:rPr>
      </w:pPr>
      <w:r>
        <w:rPr>
          <w:rFonts w:hint="eastAsia" w:ascii="Times New Roman"/>
        </w:rPr>
        <w:t>FS：满量程（</w:t>
      </w:r>
      <w:r>
        <w:rPr>
          <w:rFonts w:ascii="Times New Roman"/>
        </w:rPr>
        <w:t>full scale</w:t>
      </w:r>
      <w:r>
        <w:rPr>
          <w:rFonts w:hint="eastAsia" w:ascii="Times New Roman"/>
        </w:rPr>
        <w:t>）</w:t>
      </w:r>
    </w:p>
    <w:p>
      <w:pPr>
        <w:pStyle w:val="23"/>
        <w:rPr>
          <w:rFonts w:ascii="Times New Roman"/>
        </w:rPr>
      </w:pPr>
      <w:r>
        <w:rPr>
          <w:rFonts w:hint="eastAsia" w:ascii="Times New Roman"/>
        </w:rPr>
        <w:t>PSD：</w:t>
      </w:r>
      <w:r>
        <w:rPr>
          <w:rFonts w:ascii="Times New Roman"/>
        </w:rPr>
        <w:t>功率谱密度</w:t>
      </w:r>
      <w:r>
        <w:rPr>
          <w:rFonts w:hint="eastAsia" w:ascii="Times New Roman"/>
        </w:rPr>
        <w:t>（</w:t>
      </w:r>
      <w:r>
        <w:rPr>
          <w:rFonts w:ascii="Times New Roman"/>
        </w:rPr>
        <w:t>power spectral density</w:t>
      </w:r>
      <w:r>
        <w:rPr>
          <w:rFonts w:hint="eastAsia" w:ascii="Times New Roman"/>
        </w:rPr>
        <w:t>）</w:t>
      </w:r>
    </w:p>
    <w:p>
      <w:pPr>
        <w:pStyle w:val="23"/>
        <w:rPr>
          <w:rFonts w:ascii="Times New Roman"/>
        </w:rPr>
      </w:pPr>
      <w:r>
        <w:rPr>
          <w:rFonts w:hint="eastAsia" w:ascii="Times New Roman"/>
        </w:rPr>
        <w:t>RMS：均方根（</w:t>
      </w:r>
      <w:r>
        <w:rPr>
          <w:rFonts w:ascii="Times New Roman"/>
        </w:rPr>
        <w:t>root mean square</w:t>
      </w:r>
      <w:r>
        <w:rPr>
          <w:rFonts w:hint="eastAsia" w:ascii="Times New Roman"/>
        </w:rPr>
        <w:t>）</w:t>
      </w:r>
    </w:p>
    <w:p>
      <w:pPr>
        <w:pStyle w:val="23"/>
        <w:rPr>
          <w:rFonts w:ascii="Times New Roman"/>
        </w:rPr>
      </w:pPr>
      <w:r>
        <w:rPr>
          <w:rFonts w:hint="eastAsia" w:ascii="Times New Roman"/>
        </w:rPr>
        <w:t>SOC：荷电</w:t>
      </w:r>
      <w:r>
        <w:rPr>
          <w:rFonts w:ascii="Times New Roman"/>
        </w:rPr>
        <w:t>状</w:t>
      </w:r>
      <w:r>
        <w:rPr>
          <w:rFonts w:hint="eastAsia" w:ascii="Times New Roman"/>
        </w:rPr>
        <w:t>态（state</w:t>
      </w:r>
      <w:r>
        <w:rPr>
          <w:rFonts w:ascii="Times New Roman"/>
        </w:rPr>
        <w:t>-</w:t>
      </w:r>
      <w:r>
        <w:rPr>
          <w:rFonts w:hint="eastAsia" w:ascii="Times New Roman"/>
        </w:rPr>
        <w:t>of</w:t>
      </w:r>
      <w:r>
        <w:rPr>
          <w:rFonts w:ascii="Times New Roman"/>
        </w:rPr>
        <w:t>-</w:t>
      </w:r>
      <w:r>
        <w:rPr>
          <w:rFonts w:hint="eastAsia" w:ascii="Times New Roman"/>
        </w:rPr>
        <w:t>charge）</w:t>
      </w:r>
    </w:p>
    <w:p>
      <w:pPr>
        <w:pStyle w:val="42"/>
        <w:spacing w:before="156" w:after="156"/>
        <w:ind w:left="0"/>
        <w:rPr>
          <w:rFonts w:ascii="Times New Roman"/>
          <w:color w:val="000000" w:themeColor="text1"/>
          <w:szCs w:val="20"/>
          <w14:textFill>
            <w14:solidFill>
              <w14:schemeClr w14:val="tx1"/>
            </w14:solidFill>
          </w14:textFill>
        </w:rPr>
      </w:pPr>
      <w:r>
        <w:rPr>
          <w:rFonts w:hint="eastAsia" w:ascii="Times New Roman"/>
          <w:color w:val="000000" w:themeColor="text1"/>
          <w:szCs w:val="20"/>
          <w14:textFill>
            <w14:solidFill>
              <w14:schemeClr w14:val="tx1"/>
            </w14:solidFill>
          </w14:textFill>
        </w:rPr>
        <w:t>符号</w:t>
      </w:r>
    </w:p>
    <w:p>
      <w:pPr>
        <w:pStyle w:val="23"/>
      </w:pPr>
      <w:r>
        <w:rPr>
          <w:rFonts w:hint="eastAsia"/>
        </w:rPr>
        <w:t>下列符号适用于本文件。</w:t>
      </w:r>
    </w:p>
    <w:p>
      <w:pPr>
        <w:pStyle w:val="23"/>
        <w:rPr>
          <w:rFonts w:ascii="Times New Roman"/>
        </w:rPr>
      </w:pPr>
      <w:r>
        <w:rPr>
          <w:rFonts w:ascii="Times New Roman"/>
          <w:i/>
        </w:rPr>
        <w:t>I</w:t>
      </w:r>
      <w:r>
        <w:rPr>
          <w:rFonts w:ascii="Times New Roman"/>
          <w:vertAlign w:val="subscript"/>
        </w:rPr>
        <w:t>1</w:t>
      </w:r>
      <w:r>
        <w:rPr>
          <w:rFonts w:hint="eastAsia" w:ascii="Times New Roman"/>
        </w:rPr>
        <w:t>：</w:t>
      </w:r>
      <w:r>
        <w:rPr>
          <w:rFonts w:ascii="Times New Roman"/>
        </w:rPr>
        <w:t>1 h</w:t>
      </w:r>
      <w:r>
        <w:rPr>
          <w:rFonts w:hint="eastAsia" w:ascii="Times New Roman"/>
        </w:rPr>
        <w:t>率</w:t>
      </w:r>
      <w:r>
        <w:rPr>
          <w:rFonts w:ascii="Times New Roman"/>
        </w:rPr>
        <w:t>放电电流</w:t>
      </w:r>
      <w:r>
        <w:rPr>
          <w:rFonts w:hint="eastAsia" w:ascii="Times New Roman"/>
        </w:rPr>
        <w:t>（A），</w:t>
      </w:r>
      <w:r>
        <w:rPr>
          <w:rFonts w:ascii="Times New Roman"/>
        </w:rPr>
        <w:t>其数值等于额定容量</w:t>
      </w:r>
      <w:r>
        <w:rPr>
          <w:rFonts w:hint="eastAsia" w:ascii="Times New Roman"/>
        </w:rPr>
        <w:t>值。</w:t>
      </w:r>
    </w:p>
    <w:p>
      <w:pPr>
        <w:pStyle w:val="23"/>
        <w:rPr>
          <w:rFonts w:ascii="Times New Roman"/>
        </w:rPr>
      </w:pPr>
      <w:r>
        <w:rPr>
          <w:rFonts w:ascii="Times New Roman"/>
          <w:i/>
        </w:rPr>
        <w:t>I</w:t>
      </w:r>
      <w:r>
        <w:rPr>
          <w:rFonts w:hint="eastAsia" w:ascii="Times New Roman"/>
          <w:vertAlign w:val="subscript"/>
        </w:rPr>
        <w:t>3</w:t>
      </w:r>
      <w:r>
        <w:rPr>
          <w:rFonts w:hint="eastAsia" w:ascii="Times New Roman"/>
        </w:rPr>
        <w:t>：3</w:t>
      </w:r>
      <w:r>
        <w:rPr>
          <w:rFonts w:ascii="Times New Roman"/>
        </w:rPr>
        <w:t xml:space="preserve"> h</w:t>
      </w:r>
      <w:r>
        <w:rPr>
          <w:rFonts w:hint="eastAsia" w:ascii="Times New Roman"/>
        </w:rPr>
        <w:t>率</w:t>
      </w:r>
      <w:r>
        <w:rPr>
          <w:rFonts w:ascii="Times New Roman"/>
        </w:rPr>
        <w:t>放电电流</w:t>
      </w:r>
      <w:r>
        <w:rPr>
          <w:rFonts w:hint="eastAsia" w:ascii="Times New Roman"/>
        </w:rPr>
        <w:t>（A），</w:t>
      </w:r>
      <w:r>
        <w:rPr>
          <w:rFonts w:ascii="Times New Roman"/>
        </w:rPr>
        <w:t>其数值等于额定容量</w:t>
      </w:r>
      <w:r>
        <w:rPr>
          <w:rFonts w:hint="eastAsia" w:ascii="Times New Roman"/>
        </w:rPr>
        <w:t>值的1/3。</w:t>
      </w:r>
    </w:p>
    <w:p>
      <w:pPr>
        <w:pStyle w:val="45"/>
        <w:spacing w:before="312" w:after="312"/>
        <w:rPr>
          <w:rFonts w:ascii="Times New Roman"/>
          <w:color w:val="000000" w:themeColor="text1"/>
          <w14:textFill>
            <w14:solidFill>
              <w14:schemeClr w14:val="tx1"/>
            </w14:solidFill>
          </w14:textFill>
        </w:rPr>
      </w:pPr>
      <w:bookmarkStart w:id="728" w:name="_Toc513234318"/>
      <w:bookmarkStart w:id="729" w:name="_Toc452665655"/>
      <w:bookmarkStart w:id="730" w:name="_Toc450682884"/>
      <w:r>
        <w:rPr>
          <w:rFonts w:ascii="Times New Roman"/>
          <w:color w:val="000000" w:themeColor="text1"/>
          <w14:textFill>
            <w14:solidFill>
              <w14:schemeClr w14:val="tx1"/>
            </w14:solidFill>
          </w14:textFill>
        </w:rPr>
        <w:t>安全要求</w:t>
      </w:r>
      <w:bookmarkEnd w:id="728"/>
      <w:bookmarkEnd w:id="729"/>
    </w:p>
    <w:p>
      <w:pPr>
        <w:pStyle w:val="42"/>
        <w:spacing w:before="156" w:after="156"/>
        <w:ind w:left="0"/>
        <w:rPr>
          <w:rFonts w:ascii="Times New Roman"/>
          <w:color w:val="000000" w:themeColor="text1"/>
          <w:szCs w:val="20"/>
          <w14:textFill>
            <w14:solidFill>
              <w14:schemeClr w14:val="tx1"/>
            </w14:solidFill>
          </w14:textFill>
        </w:rPr>
      </w:pPr>
      <w:bookmarkStart w:id="731" w:name="_Toc513234319"/>
      <w:r>
        <w:rPr>
          <w:rFonts w:hint="eastAsia" w:ascii="Times New Roman"/>
          <w:color w:val="000000" w:themeColor="text1"/>
          <w:szCs w:val="20"/>
          <w14:textFill>
            <w14:solidFill>
              <w14:schemeClr w14:val="tx1"/>
            </w14:solidFill>
          </w14:textFill>
        </w:rPr>
        <w:t>电池单体安全要求</w:t>
      </w:r>
      <w:bookmarkEnd w:id="731"/>
    </w:p>
    <w:p>
      <w:pPr>
        <w:pStyle w:val="46"/>
        <w:spacing w:before="156" w:after="156"/>
        <w:ind w:left="-2" w:leftChars="-1"/>
        <w:outlineLvl w:val="9"/>
        <w:rPr>
          <w:rFonts w:ascii="Times New Roman" w:eastAsia="宋体"/>
        </w:rPr>
      </w:pPr>
      <w:bookmarkStart w:id="732" w:name="_Toc468718273"/>
      <w:bookmarkStart w:id="733" w:name="_Toc475375131"/>
      <w:bookmarkStart w:id="734" w:name="_Toc475194340"/>
      <w:r>
        <w:rPr>
          <w:rFonts w:hint="eastAsia" w:ascii="Times New Roman" w:eastAsia="宋体"/>
        </w:rPr>
        <w:t>电池单体</w:t>
      </w:r>
      <w:r>
        <w:rPr>
          <w:rFonts w:ascii="Times New Roman" w:eastAsia="宋体"/>
        </w:rPr>
        <w:t>按</w:t>
      </w:r>
      <w:r>
        <w:rPr>
          <w:rFonts w:hint="eastAsia" w:ascii="Times New Roman" w:eastAsia="宋体"/>
        </w:rPr>
        <w:t>照8.1</w:t>
      </w:r>
      <w:r>
        <w:rPr>
          <w:rFonts w:ascii="Times New Roman" w:eastAsia="宋体"/>
        </w:rPr>
        <w:t>.2进行过放电试验，应不起火、不爆炸</w:t>
      </w:r>
      <w:bookmarkEnd w:id="732"/>
      <w:r>
        <w:rPr>
          <w:rFonts w:hint="eastAsia" w:ascii="Times New Roman" w:eastAsia="宋体"/>
        </w:rPr>
        <w:t>。</w:t>
      </w:r>
      <w:bookmarkEnd w:id="733"/>
      <w:bookmarkEnd w:id="734"/>
      <w:bookmarkStart w:id="735" w:name="_Toc468718274"/>
      <w:bookmarkStart w:id="736" w:name="_Toc475194341"/>
    </w:p>
    <w:p>
      <w:pPr>
        <w:pStyle w:val="46"/>
        <w:spacing w:before="156" w:after="156"/>
        <w:ind w:left="-2" w:leftChars="-1"/>
        <w:outlineLvl w:val="9"/>
        <w:rPr>
          <w:rFonts w:ascii="Times New Roman" w:eastAsia="宋体"/>
        </w:rPr>
      </w:pPr>
      <w:bookmarkStart w:id="737" w:name="_Toc475375132"/>
      <w:r>
        <w:rPr>
          <w:rFonts w:hint="eastAsia" w:ascii="Times New Roman" w:eastAsia="宋体"/>
        </w:rPr>
        <w:t>电池单体</w:t>
      </w:r>
      <w:r>
        <w:rPr>
          <w:rFonts w:ascii="Times New Roman" w:eastAsia="宋体"/>
        </w:rPr>
        <w:t>按</w:t>
      </w:r>
      <w:r>
        <w:rPr>
          <w:rFonts w:hint="eastAsia" w:ascii="Times New Roman" w:eastAsia="宋体"/>
        </w:rPr>
        <w:t>照8.1</w:t>
      </w:r>
      <w:r>
        <w:rPr>
          <w:rFonts w:ascii="Times New Roman" w:eastAsia="宋体"/>
        </w:rPr>
        <w:t>.3进行过充电试验，应不起火、不爆炸</w:t>
      </w:r>
      <w:bookmarkEnd w:id="735"/>
      <w:r>
        <w:rPr>
          <w:rFonts w:hint="eastAsia" w:ascii="Times New Roman" w:eastAsia="宋体"/>
        </w:rPr>
        <w:t>。</w:t>
      </w:r>
      <w:bookmarkEnd w:id="736"/>
      <w:bookmarkEnd w:id="737"/>
      <w:bookmarkStart w:id="738" w:name="_Toc468718275"/>
      <w:bookmarkStart w:id="739" w:name="_Toc475194342"/>
    </w:p>
    <w:p>
      <w:pPr>
        <w:pStyle w:val="46"/>
        <w:spacing w:before="156" w:after="156"/>
        <w:ind w:left="-2" w:leftChars="-1"/>
        <w:outlineLvl w:val="9"/>
        <w:rPr>
          <w:rFonts w:ascii="Times New Roman" w:eastAsia="宋体"/>
        </w:rPr>
      </w:pPr>
      <w:bookmarkStart w:id="740" w:name="_Toc475375133"/>
      <w:r>
        <w:rPr>
          <w:rFonts w:hint="eastAsia" w:ascii="Times New Roman" w:eastAsia="宋体"/>
        </w:rPr>
        <w:t>电池单体</w:t>
      </w:r>
      <w:r>
        <w:rPr>
          <w:rFonts w:ascii="Times New Roman" w:eastAsia="宋体"/>
        </w:rPr>
        <w:t>按</w:t>
      </w:r>
      <w:r>
        <w:rPr>
          <w:rFonts w:hint="eastAsia" w:ascii="Times New Roman" w:eastAsia="宋体"/>
        </w:rPr>
        <w:t>照8.1</w:t>
      </w:r>
      <w:r>
        <w:rPr>
          <w:rFonts w:ascii="Times New Roman" w:eastAsia="宋体"/>
        </w:rPr>
        <w:t>.4进行</w:t>
      </w:r>
      <w:r>
        <w:rPr>
          <w:rFonts w:hint="eastAsia" w:ascii="Times New Roman" w:eastAsia="宋体"/>
        </w:rPr>
        <w:t>外部</w:t>
      </w:r>
      <w:r>
        <w:rPr>
          <w:rFonts w:ascii="Times New Roman" w:eastAsia="宋体"/>
        </w:rPr>
        <w:t>短路试验，应不起火、不爆炸</w:t>
      </w:r>
      <w:bookmarkEnd w:id="738"/>
      <w:r>
        <w:rPr>
          <w:rFonts w:hint="eastAsia" w:ascii="Times New Roman" w:eastAsia="宋体"/>
        </w:rPr>
        <w:t>。</w:t>
      </w:r>
      <w:bookmarkEnd w:id="739"/>
      <w:bookmarkEnd w:id="740"/>
      <w:bookmarkStart w:id="741" w:name="_Toc475194343"/>
      <w:bookmarkStart w:id="742" w:name="_Toc468718276"/>
    </w:p>
    <w:p>
      <w:pPr>
        <w:pStyle w:val="46"/>
        <w:spacing w:before="156" w:after="156"/>
        <w:ind w:left="-2" w:leftChars="-1"/>
        <w:outlineLvl w:val="9"/>
        <w:rPr>
          <w:rFonts w:ascii="Times New Roman" w:eastAsia="宋体"/>
        </w:rPr>
      </w:pPr>
      <w:bookmarkStart w:id="743" w:name="_Toc475375134"/>
      <w:r>
        <w:rPr>
          <w:rFonts w:hint="eastAsia" w:ascii="Times New Roman" w:eastAsia="宋体"/>
        </w:rPr>
        <w:t>电池单体</w:t>
      </w:r>
      <w:r>
        <w:rPr>
          <w:rFonts w:ascii="Times New Roman" w:eastAsia="宋体"/>
        </w:rPr>
        <w:t>按</w:t>
      </w:r>
      <w:r>
        <w:rPr>
          <w:rFonts w:hint="eastAsia" w:ascii="Times New Roman" w:eastAsia="宋体"/>
        </w:rPr>
        <w:t>照8.1</w:t>
      </w:r>
      <w:r>
        <w:rPr>
          <w:rFonts w:ascii="Times New Roman" w:eastAsia="宋体"/>
        </w:rPr>
        <w:t>.5进行加热试验，应不起火、不爆炸</w:t>
      </w:r>
      <w:bookmarkEnd w:id="741"/>
      <w:bookmarkEnd w:id="742"/>
      <w:r>
        <w:rPr>
          <w:rFonts w:hint="eastAsia" w:ascii="Times New Roman" w:eastAsia="宋体"/>
        </w:rPr>
        <w:t>。</w:t>
      </w:r>
      <w:bookmarkEnd w:id="743"/>
      <w:bookmarkStart w:id="744" w:name="_Toc468718277"/>
      <w:bookmarkStart w:id="745" w:name="_Toc475194344"/>
    </w:p>
    <w:p>
      <w:pPr>
        <w:pStyle w:val="46"/>
        <w:spacing w:before="156" w:after="156"/>
        <w:ind w:left="-2" w:leftChars="-1"/>
        <w:outlineLvl w:val="9"/>
        <w:rPr>
          <w:rFonts w:ascii="Times New Roman" w:eastAsia="宋体"/>
        </w:rPr>
      </w:pPr>
      <w:bookmarkStart w:id="746" w:name="_Toc475375135"/>
      <w:r>
        <w:rPr>
          <w:rFonts w:hint="eastAsia" w:ascii="Times New Roman" w:eastAsia="宋体"/>
        </w:rPr>
        <w:t>电池单体</w:t>
      </w:r>
      <w:r>
        <w:rPr>
          <w:rFonts w:ascii="Times New Roman" w:eastAsia="宋体"/>
        </w:rPr>
        <w:t>按</w:t>
      </w:r>
      <w:r>
        <w:rPr>
          <w:rFonts w:hint="eastAsia" w:ascii="Times New Roman" w:eastAsia="宋体"/>
        </w:rPr>
        <w:t>照8.1</w:t>
      </w:r>
      <w:r>
        <w:rPr>
          <w:rFonts w:ascii="Times New Roman" w:eastAsia="宋体"/>
        </w:rPr>
        <w:t>.</w:t>
      </w:r>
      <w:r>
        <w:rPr>
          <w:rFonts w:hint="eastAsia" w:ascii="Times New Roman" w:eastAsia="宋体"/>
        </w:rPr>
        <w:t>6</w:t>
      </w:r>
      <w:r>
        <w:rPr>
          <w:rFonts w:ascii="Times New Roman" w:eastAsia="宋体"/>
        </w:rPr>
        <w:t>进行</w:t>
      </w:r>
      <w:r>
        <w:rPr>
          <w:rFonts w:hint="eastAsia" w:ascii="Times New Roman" w:eastAsia="宋体"/>
        </w:rPr>
        <w:t>温度循环</w:t>
      </w:r>
      <w:r>
        <w:rPr>
          <w:rFonts w:ascii="Times New Roman" w:eastAsia="宋体"/>
        </w:rPr>
        <w:t>试验，应</w:t>
      </w:r>
      <w:r>
        <w:rPr>
          <w:rFonts w:hint="eastAsia" w:ascii="Times New Roman" w:eastAsia="宋体"/>
        </w:rPr>
        <w:t>不起火、不爆炸</w:t>
      </w:r>
      <w:bookmarkEnd w:id="744"/>
      <w:r>
        <w:rPr>
          <w:rFonts w:hint="eastAsia" w:ascii="Times New Roman" w:eastAsia="宋体"/>
        </w:rPr>
        <w:t>。</w:t>
      </w:r>
      <w:bookmarkEnd w:id="745"/>
      <w:bookmarkEnd w:id="746"/>
      <w:bookmarkStart w:id="747" w:name="_Toc475194345"/>
      <w:bookmarkStart w:id="748" w:name="_Toc468718278"/>
    </w:p>
    <w:bookmarkEnd w:id="747"/>
    <w:bookmarkEnd w:id="748"/>
    <w:p>
      <w:pPr>
        <w:pStyle w:val="46"/>
        <w:spacing w:before="156" w:after="156"/>
        <w:ind w:left="-2" w:leftChars="-1"/>
        <w:outlineLvl w:val="9"/>
        <w:rPr>
          <w:rFonts w:ascii="Times New Roman" w:eastAsia="宋体"/>
        </w:rPr>
      </w:pPr>
      <w:bookmarkStart w:id="749" w:name="_Toc475194346"/>
      <w:bookmarkStart w:id="750" w:name="_Toc468718279"/>
      <w:r>
        <w:rPr>
          <w:rFonts w:hint="eastAsia" w:ascii="Times New Roman" w:eastAsia="宋体"/>
        </w:rPr>
        <w:t>电池单体按照8.1.7进行挤压试验，应不起火、不爆炸。</w:t>
      </w:r>
    </w:p>
    <w:p>
      <w:pPr>
        <w:pStyle w:val="46"/>
        <w:spacing w:before="156" w:after="156"/>
        <w:ind w:left="-2" w:leftChars="-1"/>
        <w:outlineLvl w:val="9"/>
        <w:rPr>
          <w:rFonts w:ascii="Times New Roman" w:eastAsia="宋体"/>
        </w:rPr>
      </w:pPr>
      <w:r>
        <w:rPr>
          <w:rFonts w:hint="eastAsia" w:ascii="Times New Roman" w:eastAsia="宋体"/>
        </w:rPr>
        <w:t>电池单体按照8.1.8进行快充循环后安全试验，应不起火、不爆炸。</w:t>
      </w:r>
    </w:p>
    <w:bookmarkEnd w:id="749"/>
    <w:bookmarkEnd w:id="750"/>
    <w:p>
      <w:pPr>
        <w:pStyle w:val="42"/>
        <w:spacing w:before="156" w:after="156"/>
        <w:ind w:left="0"/>
        <w:rPr>
          <w:rFonts w:ascii="Times New Roman"/>
          <w:color w:val="000000" w:themeColor="text1"/>
          <w:szCs w:val="20"/>
          <w14:textFill>
            <w14:solidFill>
              <w14:schemeClr w14:val="tx1"/>
            </w14:solidFill>
          </w14:textFill>
        </w:rPr>
      </w:pPr>
      <w:bookmarkStart w:id="751" w:name="_Toc513234320"/>
      <w:r>
        <w:rPr>
          <w:rFonts w:hint="eastAsia" w:ascii="Times New Roman"/>
          <w:color w:val="000000" w:themeColor="text1"/>
          <w:szCs w:val="20"/>
          <w14:textFill>
            <w14:solidFill>
              <w14:schemeClr w14:val="tx1"/>
            </w14:solidFill>
          </w14:textFill>
        </w:rPr>
        <w:t>电池包或系统安全要求</w:t>
      </w:r>
      <w:bookmarkEnd w:id="751"/>
    </w:p>
    <w:p>
      <w:pPr>
        <w:pStyle w:val="46"/>
        <w:spacing w:before="156" w:after="156"/>
        <w:ind w:left="-2" w:leftChars="-1"/>
        <w:jc w:val="both"/>
        <w:outlineLvl w:val="9"/>
        <w:rPr>
          <w:rFonts w:ascii="Times New Roman" w:eastAsia="宋体"/>
        </w:rPr>
      </w:pPr>
      <w:bookmarkStart w:id="752" w:name="_Toc468729495"/>
      <w:r>
        <w:rPr>
          <w:rFonts w:hint="eastAsia" w:ascii="Times New Roman" w:eastAsia="宋体"/>
        </w:rPr>
        <w:t>电池包或系统按照</w:t>
      </w:r>
      <w:r>
        <w:rPr>
          <w:rFonts w:ascii="Times New Roman" w:eastAsia="宋体"/>
        </w:rPr>
        <w:t>8.2.1</w:t>
      </w:r>
      <w:r>
        <w:rPr>
          <w:rFonts w:hint="eastAsia" w:ascii="Times New Roman" w:eastAsia="宋体"/>
        </w:rPr>
        <w:t>进行振动试验，应无泄漏、外壳破裂、起火或爆炸现象，且不触发异常终止条件。试验后的绝缘电阻应不小于100</w:t>
      </w:r>
      <w:r>
        <w:rPr>
          <w:rFonts w:ascii="Times New Roman" w:eastAsia="宋体"/>
        </w:rPr>
        <w:t xml:space="preserve"> Ω/V</w:t>
      </w:r>
      <w:r>
        <w:rPr>
          <w:rFonts w:hint="eastAsia" w:ascii="Times New Roman" w:eastAsia="宋体"/>
        </w:rPr>
        <w:t>。</w:t>
      </w:r>
      <w:bookmarkEnd w:id="752"/>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bookmarkStart w:id="753" w:name="_Toc468729497"/>
      <w:r>
        <w:rPr>
          <w:rFonts w:hint="eastAsia" w:ascii="Times New Roman" w:eastAsia="宋体"/>
        </w:rPr>
        <w:t>电池包或系统按照8.2.2进行机械冲击试验，应无泄漏、外壳破裂、起火或爆炸现象。试验后的绝缘电阻应不小于</w:t>
      </w:r>
      <w:r>
        <w:rPr>
          <w:rFonts w:ascii="Times New Roman" w:eastAsia="宋体"/>
        </w:rPr>
        <w:t>100 Ω/V</w:t>
      </w:r>
      <w:r>
        <w:rPr>
          <w:rFonts w:hint="eastAsia" w:ascii="Times New Roman" w:eastAsia="宋体"/>
        </w:rPr>
        <w:t>。</w:t>
      </w:r>
      <w:bookmarkEnd w:id="753"/>
      <w:bookmarkStart w:id="754" w:name="_Toc468729498"/>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r>
        <w:rPr>
          <w:rFonts w:hint="eastAsia" w:ascii="Times New Roman" w:eastAsia="宋体"/>
        </w:rPr>
        <w:t>电池包或系统按照8.2.3进行模拟碰撞试验，应无泄漏、外壳破裂、起火或爆炸现象。试验后的绝缘电阻应不小于100</w:t>
      </w:r>
      <w:r>
        <w:rPr>
          <w:rFonts w:ascii="Times New Roman" w:eastAsia="宋体"/>
        </w:rPr>
        <w:t xml:space="preserve"> Ω/V</w:t>
      </w:r>
      <w:r>
        <w:rPr>
          <w:rFonts w:hint="eastAsia" w:ascii="Times New Roman" w:eastAsia="宋体"/>
        </w:rPr>
        <w:t>。</w:t>
      </w:r>
      <w:bookmarkEnd w:id="754"/>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bookmarkStart w:id="755" w:name="_Toc468729499"/>
      <w:r>
        <w:rPr>
          <w:rFonts w:hint="eastAsia" w:ascii="Times New Roman" w:eastAsia="宋体"/>
        </w:rPr>
        <w:t>电池包或系统按照8.2.4进行挤压试验，应不起火、不爆炸。</w:t>
      </w:r>
      <w:bookmarkEnd w:id="755"/>
    </w:p>
    <w:p>
      <w:pPr>
        <w:pStyle w:val="46"/>
        <w:spacing w:before="156" w:after="156"/>
        <w:ind w:left="-2" w:leftChars="-1"/>
        <w:jc w:val="both"/>
        <w:outlineLvl w:val="9"/>
        <w:rPr>
          <w:rFonts w:ascii="Times New Roman" w:eastAsia="宋体"/>
        </w:rPr>
      </w:pPr>
      <w:bookmarkStart w:id="756" w:name="_Toc468729500"/>
      <w:r>
        <w:rPr>
          <w:rFonts w:hint="eastAsia" w:ascii="Times New Roman" w:eastAsia="宋体"/>
        </w:rPr>
        <w:t>电池包或系统按照8.2.5进行湿热循环试验，应无泄漏、外壳破裂、起火或爆炸现象，且不触发异常终止条件。试验后30</w:t>
      </w:r>
      <w:r>
        <w:rPr>
          <w:rFonts w:ascii="Times New Roman" w:eastAsia="宋体"/>
        </w:rPr>
        <w:t xml:space="preserve"> </w:t>
      </w:r>
      <w:r>
        <w:rPr>
          <w:rFonts w:hint="eastAsia" w:ascii="Times New Roman" w:eastAsia="宋体"/>
        </w:rPr>
        <w:t>min之内的绝缘电阻应不小于100</w:t>
      </w:r>
      <w:r>
        <w:rPr>
          <w:rFonts w:ascii="Times New Roman" w:eastAsia="宋体"/>
        </w:rPr>
        <w:t xml:space="preserve"> Ω/V</w:t>
      </w:r>
      <w:r>
        <w:rPr>
          <w:rFonts w:hint="eastAsia" w:ascii="Times New Roman" w:eastAsia="宋体"/>
        </w:rPr>
        <w:t>。</w:t>
      </w:r>
      <w:bookmarkEnd w:id="756"/>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outlineLvl w:val="9"/>
        <w:rPr>
          <w:rFonts w:ascii="Times New Roman" w:eastAsia="宋体"/>
        </w:rPr>
      </w:pPr>
      <w:bookmarkStart w:id="757" w:name="_Toc468729503"/>
      <w:r>
        <w:rPr>
          <w:rFonts w:hint="eastAsia" w:ascii="Times New Roman" w:eastAsia="宋体"/>
        </w:rPr>
        <w:t>电池包或系统按照8.2.6进行浸水试验，应</w:t>
      </w:r>
      <w:r>
        <w:rPr>
          <w:rFonts w:ascii="Times New Roman" w:eastAsia="宋体"/>
        </w:rPr>
        <w:t>满足如下要求</w:t>
      </w:r>
      <w:r>
        <w:rPr>
          <w:rFonts w:hint="eastAsia" w:ascii="Times New Roman" w:eastAsia="宋体"/>
        </w:rPr>
        <w:t>之一：</w:t>
      </w:r>
    </w:p>
    <w:p>
      <w:pPr>
        <w:pStyle w:val="51"/>
        <w:numPr>
          <w:ilvl w:val="0"/>
          <w:numId w:val="10"/>
        </w:numPr>
        <w:spacing w:before="0" w:beforeLines="0" w:after="0" w:afterLines="0"/>
        <w:jc w:val="both"/>
        <w:rPr>
          <w:rFonts w:ascii="Times New Roman" w:eastAsia="宋体"/>
          <w:szCs w:val="20"/>
        </w:rPr>
      </w:pPr>
      <w:r>
        <w:rPr>
          <w:rFonts w:hint="eastAsia" w:ascii="Times New Roman" w:eastAsia="宋体"/>
          <w:szCs w:val="20"/>
        </w:rPr>
        <w:t>按方式一进行</w:t>
      </w:r>
      <w:r>
        <w:rPr>
          <w:rFonts w:ascii="Times New Roman" w:eastAsia="宋体"/>
          <w:szCs w:val="20"/>
        </w:rPr>
        <w:t>，</w:t>
      </w:r>
      <w:r>
        <w:rPr>
          <w:rFonts w:hint="eastAsia" w:ascii="Times New Roman" w:eastAsia="宋体"/>
          <w:szCs w:val="20"/>
        </w:rPr>
        <w:t>应不起火、不爆炸；</w:t>
      </w:r>
    </w:p>
    <w:p>
      <w:pPr>
        <w:pStyle w:val="51"/>
        <w:numPr>
          <w:ilvl w:val="0"/>
          <w:numId w:val="10"/>
        </w:numPr>
        <w:spacing w:before="0" w:beforeLines="0" w:after="0" w:afterLines="0"/>
        <w:jc w:val="both"/>
        <w:rPr>
          <w:rFonts w:ascii="Times New Roman" w:eastAsia="宋体"/>
          <w:szCs w:val="20"/>
        </w:rPr>
      </w:pPr>
      <w:r>
        <w:rPr>
          <w:rFonts w:hint="eastAsia" w:ascii="Times New Roman" w:eastAsia="宋体"/>
          <w:szCs w:val="20"/>
        </w:rPr>
        <w:t>按方式二进行，试验后需</w:t>
      </w:r>
      <w:r>
        <w:rPr>
          <w:rFonts w:ascii="Times New Roman" w:eastAsia="宋体"/>
          <w:szCs w:val="20"/>
        </w:rPr>
        <w:t>满足</w:t>
      </w:r>
      <w:r>
        <w:rPr>
          <w:rFonts w:hint="eastAsia" w:ascii="Times New Roman" w:eastAsia="宋体"/>
          <w:szCs w:val="20"/>
        </w:rPr>
        <w:t>IPX7要求，应</w:t>
      </w:r>
      <w:r>
        <w:rPr>
          <w:rFonts w:ascii="Times New Roman" w:eastAsia="宋体"/>
          <w:szCs w:val="20"/>
        </w:rPr>
        <w:t>无泄漏、外壳破裂、起火或爆炸现象。</w:t>
      </w:r>
      <w:r>
        <w:rPr>
          <w:rFonts w:hint="eastAsia" w:ascii="Times New Roman" w:eastAsia="宋体"/>
          <w:szCs w:val="20"/>
        </w:rPr>
        <w:t>试验后的绝缘电阻应不小于100</w:t>
      </w:r>
      <w:r>
        <w:rPr>
          <w:rFonts w:ascii="Times New Roman" w:eastAsia="宋体"/>
          <w:szCs w:val="20"/>
        </w:rPr>
        <w:t xml:space="preserve"> Ω/V</w:t>
      </w:r>
      <w:r>
        <w:rPr>
          <w:rFonts w:hint="eastAsia" w:ascii="Times New Roman" w:eastAsia="宋体"/>
          <w:szCs w:val="20"/>
        </w:rPr>
        <w:t>。</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outlineLvl w:val="9"/>
        <w:rPr>
          <w:rFonts w:ascii="Times New Roman" w:eastAsia="宋体"/>
        </w:rPr>
      </w:pPr>
      <w:r>
        <w:rPr>
          <w:rFonts w:hint="eastAsia" w:ascii="Times New Roman" w:eastAsia="宋体"/>
        </w:rPr>
        <w:t>按照8.2.7进行热稳定性试验（镍氢</w:t>
      </w:r>
      <w:r>
        <w:rPr>
          <w:rFonts w:ascii="Times New Roman" w:eastAsia="宋体"/>
        </w:rPr>
        <w:t>电池包或系统</w:t>
      </w:r>
      <w:r>
        <w:rPr>
          <w:rFonts w:hint="eastAsia" w:ascii="Times New Roman" w:eastAsia="宋体"/>
        </w:rPr>
        <w:t>除外），应满足以下要求：</w:t>
      </w:r>
    </w:p>
    <w:p>
      <w:pPr>
        <w:pStyle w:val="51"/>
        <w:numPr>
          <w:ilvl w:val="0"/>
          <w:numId w:val="0"/>
        </w:numPr>
        <w:spacing w:before="156" w:after="156"/>
        <w:ind w:firstLine="450"/>
        <w:rPr>
          <w:rFonts w:asciiTheme="minorEastAsia" w:hAnsiTheme="minorEastAsia" w:eastAsiaTheme="minorEastAsia"/>
        </w:rPr>
      </w:pPr>
      <w:r>
        <w:rPr>
          <w:rFonts w:hint="eastAsia" w:asciiTheme="minorEastAsia" w:hAnsiTheme="minorEastAsia" w:eastAsiaTheme="minorEastAsia"/>
        </w:rPr>
        <w:t xml:space="preserve">a） </w:t>
      </w:r>
      <w:r>
        <w:rPr>
          <w:rFonts w:hint="eastAsia" w:ascii="Times New Roman" w:eastAsia="宋体"/>
        </w:rPr>
        <w:t>电池包或系统</w:t>
      </w:r>
      <w:r>
        <w:rPr>
          <w:rFonts w:hint="eastAsia" w:asciiTheme="minorEastAsia" w:hAnsiTheme="minorEastAsia" w:eastAsiaTheme="minorEastAsia"/>
        </w:rPr>
        <w:t>按照</w:t>
      </w:r>
      <w:r>
        <w:rPr>
          <w:rFonts w:ascii="Times New Roman" w:eastAsiaTheme="minorEastAsia"/>
        </w:rPr>
        <w:t>8.2.7.1</w:t>
      </w:r>
      <w:r>
        <w:rPr>
          <w:rFonts w:hint="eastAsia" w:asciiTheme="minorEastAsia" w:hAnsiTheme="minorEastAsia" w:eastAsiaTheme="minorEastAsia"/>
        </w:rPr>
        <w:t>进行外部火烧试验，应不爆炸</w:t>
      </w:r>
      <w:bookmarkEnd w:id="757"/>
      <w:r>
        <w:rPr>
          <w:rFonts w:hint="eastAsia" w:asciiTheme="minorEastAsia" w:hAnsiTheme="minorEastAsia" w:eastAsiaTheme="minorEastAsia"/>
        </w:rPr>
        <w:t>；</w:t>
      </w:r>
    </w:p>
    <w:p>
      <w:pPr>
        <w:pStyle w:val="51"/>
        <w:numPr>
          <w:ilvl w:val="0"/>
          <w:numId w:val="0"/>
        </w:numPr>
        <w:spacing w:before="156" w:after="156"/>
        <w:ind w:left="810" w:hanging="360"/>
        <w:jc w:val="both"/>
        <w:rPr>
          <w:rFonts w:asciiTheme="minorEastAsia" w:hAnsiTheme="minorEastAsia" w:eastAsiaTheme="minorEastAsia"/>
          <w:shd w:val="clear" w:color="auto" w:fill="FFFFFF" w:themeFill="background1"/>
        </w:rPr>
      </w:pPr>
      <w:r>
        <w:rPr>
          <w:rFonts w:hint="eastAsia" w:asciiTheme="minorEastAsia" w:hAnsiTheme="minorEastAsia" w:eastAsiaTheme="minorEastAsia"/>
        </w:rPr>
        <w:t>b）</w:t>
      </w:r>
      <w:r>
        <w:rPr>
          <w:rFonts w:hint="eastAsia" w:asciiTheme="minorEastAsia" w:hAnsiTheme="minorEastAsia" w:eastAsiaTheme="minorEastAsia"/>
          <w:shd w:val="clear" w:color="auto" w:fill="FFFFFF" w:themeFill="background1"/>
        </w:rPr>
        <w:t xml:space="preserve"> </w:t>
      </w:r>
      <w:r>
        <w:rPr>
          <w:rFonts w:hint="eastAsia" w:ascii="Times New Roman" w:eastAsia="宋体"/>
        </w:rPr>
        <w:t>电池包或系统或整车</w:t>
      </w:r>
      <w:r>
        <w:rPr>
          <w:rFonts w:hint="eastAsia" w:asciiTheme="minorEastAsia" w:hAnsiTheme="minorEastAsia" w:eastAsiaTheme="minorEastAsia"/>
          <w:shd w:val="clear" w:color="auto" w:fill="FFFFFF" w:themeFill="background1"/>
        </w:rPr>
        <w:t>按照</w:t>
      </w:r>
      <w:r>
        <w:rPr>
          <w:rFonts w:ascii="Times New Roman" w:eastAsiaTheme="minorEastAsia"/>
          <w:shd w:val="clear" w:color="auto" w:fill="FFFFFF" w:themeFill="background1"/>
        </w:rPr>
        <w:t>8.2.7.2</w:t>
      </w:r>
      <w:r>
        <w:rPr>
          <w:rFonts w:hint="eastAsia" w:asciiTheme="minorEastAsia" w:hAnsiTheme="minorEastAsia" w:eastAsiaTheme="minorEastAsia"/>
          <w:shd w:val="clear" w:color="auto" w:fill="FFFFFF" w:themeFill="background1"/>
        </w:rPr>
        <w:t>进行热扩散分析和验证，应满足以下要求：</w:t>
      </w:r>
    </w:p>
    <w:p>
      <w:pPr>
        <w:pStyle w:val="51"/>
        <w:numPr>
          <w:ilvl w:val="0"/>
          <w:numId w:val="11"/>
        </w:numPr>
        <w:spacing w:before="156" w:after="156"/>
        <w:jc w:val="both"/>
        <w:rPr>
          <w:rFonts w:asciiTheme="minorEastAsia" w:hAnsiTheme="minorEastAsia" w:eastAsiaTheme="minorEastAsia"/>
          <w:shd w:val="clear" w:color="auto" w:fill="FFFFFF" w:themeFill="background1"/>
        </w:rPr>
      </w:pPr>
      <w:r>
        <w:rPr>
          <w:rFonts w:hint="eastAsia" w:asciiTheme="minorEastAsia" w:hAnsiTheme="minorEastAsia" w:eastAsiaTheme="minorEastAsia"/>
          <w:shd w:val="clear" w:color="auto" w:fill="FFFFFF" w:themeFill="background1"/>
        </w:rPr>
        <w:t>不起火、不爆炸；</w:t>
      </w:r>
    </w:p>
    <w:p>
      <w:pPr>
        <w:pStyle w:val="51"/>
        <w:numPr>
          <w:ilvl w:val="0"/>
          <w:numId w:val="11"/>
        </w:numPr>
        <w:spacing w:before="156" w:after="156"/>
        <w:jc w:val="both"/>
        <w:rPr>
          <w:rFonts w:asciiTheme="minorEastAsia" w:hAnsiTheme="minorEastAsia" w:eastAsiaTheme="minorEastAsia"/>
          <w:shd w:val="clear" w:color="auto" w:fill="FFFFFF" w:themeFill="background1"/>
        </w:rPr>
      </w:pPr>
      <w:r>
        <w:rPr>
          <w:rFonts w:hint="eastAsia" w:asciiTheme="minorEastAsia" w:hAnsiTheme="minorEastAsia" w:eastAsiaTheme="minorEastAsia"/>
          <w:shd w:val="clear" w:color="auto" w:fill="FFFFFF" w:themeFill="background1"/>
        </w:rPr>
        <w:t>提供热事件报警信号，且报警信号的发出时间应不晚于触发单体热失控之后的</w:t>
      </w:r>
      <w:r>
        <w:rPr>
          <w:rFonts w:ascii="Times New Roman" w:eastAsiaTheme="minorEastAsia"/>
          <w:shd w:val="clear" w:color="auto" w:fill="FFFFFF" w:themeFill="background1"/>
        </w:rPr>
        <w:t>5 min</w:t>
      </w:r>
      <w:r>
        <w:rPr>
          <w:rFonts w:hint="eastAsia" w:asciiTheme="minorEastAsia" w:hAnsiTheme="minorEastAsia" w:eastAsiaTheme="minorEastAsia"/>
          <w:shd w:val="clear" w:color="auto" w:fill="FFFFFF" w:themeFill="background1"/>
        </w:rPr>
        <w:t>；</w:t>
      </w:r>
    </w:p>
    <w:p>
      <w:pPr>
        <w:pStyle w:val="144"/>
        <w:numPr>
          <w:ilvl w:val="0"/>
          <w:numId w:val="11"/>
        </w:numPr>
        <w:rPr>
          <w:rFonts w:ascii="Times New Roman"/>
        </w:rPr>
      </w:pPr>
      <w:r>
        <w:rPr>
          <w:rFonts w:hint="eastAsia" w:ascii="Times New Roman" w:hAnsi="Times New Roman" w:cs="Times New Roman"/>
        </w:rPr>
        <w:t>对于整车级别测试，</w:t>
      </w:r>
      <w:bookmarkStart w:id="758" w:name="_Hlk163723789"/>
      <w:r>
        <w:rPr>
          <w:rFonts w:hint="eastAsia" w:ascii="Times New Roman" w:hAnsi="Times New Roman" w:cs="Times New Roman"/>
        </w:rPr>
        <w:t>在发出热事件报警信号之前，以及发出热事件报警信号之后的5</w:t>
      </w:r>
      <w:r>
        <w:rPr>
          <w:rFonts w:ascii="Times New Roman" w:hAnsi="Times New Roman" w:cs="Times New Roman"/>
        </w:rPr>
        <w:t xml:space="preserve"> </w:t>
      </w:r>
      <w:r>
        <w:rPr>
          <w:rFonts w:hint="eastAsia" w:ascii="Times New Roman" w:hAnsi="Times New Roman" w:cs="Times New Roman"/>
        </w:rPr>
        <w:t>min内无可见烟气进入乘员舱；</w:t>
      </w:r>
      <w:bookmarkEnd w:id="758"/>
      <w:r>
        <w:rPr>
          <w:rFonts w:hint="eastAsia" w:ascii="Times New Roman" w:hAnsi="Times New Roman" w:cs="Times New Roman"/>
        </w:rPr>
        <w:t>对于电池包及系统级别测试，应按照附录C.3.5 e）提供在发出热事件报警信号之前，以及发出热事件报警信号之后的5</w:t>
      </w:r>
      <w:r>
        <w:rPr>
          <w:rFonts w:ascii="Times New Roman" w:hAnsi="Times New Roman" w:cs="Times New Roman"/>
        </w:rPr>
        <w:t xml:space="preserve"> </w:t>
      </w:r>
      <w:r>
        <w:rPr>
          <w:rFonts w:hint="eastAsia" w:ascii="Times New Roman" w:hAnsi="Times New Roman" w:cs="Times New Roman"/>
        </w:rPr>
        <w:t>min内无可见烟气进入乘员舱的技术说明文件。</w:t>
      </w:r>
    </w:p>
    <w:p>
      <w:pPr>
        <w:pStyle w:val="46"/>
        <w:spacing w:before="156" w:after="156"/>
        <w:ind w:left="-2" w:leftChars="-1"/>
        <w:jc w:val="both"/>
        <w:outlineLvl w:val="9"/>
        <w:rPr>
          <w:rFonts w:ascii="Times New Roman" w:eastAsia="宋体"/>
        </w:rPr>
      </w:pPr>
      <w:bookmarkStart w:id="759" w:name="_Toc468729504"/>
      <w:r>
        <w:rPr>
          <w:rFonts w:hint="eastAsia" w:ascii="Times New Roman" w:eastAsia="宋体"/>
        </w:rPr>
        <w:t>电池包或系统按照8.2.8进行温度冲击试验，应无泄漏、外壳破裂、起火或爆炸现象，且不触发异常终止条件。试验后的绝缘电阻应不小于100</w:t>
      </w:r>
      <w:r>
        <w:rPr>
          <w:rFonts w:ascii="Times New Roman" w:eastAsia="宋体"/>
        </w:rPr>
        <w:t xml:space="preserve"> Ω/V</w:t>
      </w:r>
      <w:r>
        <w:rPr>
          <w:rFonts w:hint="eastAsia" w:ascii="Times New Roman" w:eastAsia="宋体"/>
        </w:rPr>
        <w:t>。</w:t>
      </w:r>
      <w:bookmarkEnd w:id="759"/>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r>
        <w:rPr>
          <w:rFonts w:hint="eastAsia" w:ascii="Times New Roman" w:eastAsia="宋体"/>
        </w:rPr>
        <w:t>电池包或系统按照8.2.</w:t>
      </w:r>
      <w:r>
        <w:rPr>
          <w:rFonts w:ascii="Times New Roman" w:eastAsia="宋体"/>
        </w:rPr>
        <w:t>9</w:t>
      </w:r>
      <w:r>
        <w:rPr>
          <w:rFonts w:hint="eastAsia" w:ascii="Times New Roman" w:eastAsia="宋体"/>
        </w:rPr>
        <w:t>进行盐雾试验，应无泄漏、外壳破裂、起火或爆炸现象，且不触发异常终止条件。试验</w:t>
      </w:r>
      <w:r>
        <w:rPr>
          <w:rFonts w:ascii="Times New Roman" w:eastAsia="宋体"/>
        </w:rPr>
        <w:t>后的绝缘电阻</w:t>
      </w:r>
      <w:r>
        <w:rPr>
          <w:rFonts w:hint="eastAsia" w:ascii="Times New Roman" w:eastAsia="宋体"/>
        </w:rPr>
        <w:t>应</w:t>
      </w:r>
      <w:r>
        <w:rPr>
          <w:rFonts w:ascii="Times New Roman" w:eastAsia="宋体"/>
        </w:rPr>
        <w:t>不小于</w:t>
      </w:r>
      <w:r>
        <w:rPr>
          <w:rFonts w:hint="eastAsia" w:ascii="Times New Roman" w:eastAsia="宋体"/>
        </w:rPr>
        <w:t>100</w:t>
      </w:r>
      <w:r>
        <w:rPr>
          <w:rFonts w:ascii="Times New Roman" w:eastAsia="宋体"/>
        </w:rPr>
        <w:t xml:space="preserve"> Ω/V</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r>
        <w:rPr>
          <w:rFonts w:hint="eastAsia" w:ascii="Times New Roman" w:eastAsia="宋体"/>
        </w:rPr>
        <w:t>电池包或系统按照8.2.1</w:t>
      </w:r>
      <w:r>
        <w:rPr>
          <w:rFonts w:ascii="Times New Roman" w:eastAsia="宋体"/>
        </w:rPr>
        <w:t>0</w:t>
      </w:r>
      <w:r>
        <w:rPr>
          <w:rFonts w:hint="eastAsia" w:ascii="Times New Roman" w:eastAsia="宋体"/>
        </w:rPr>
        <w:t>进行高海拔试验，应无泄漏、外壳破裂、起火或爆炸现象，且不触发异常终止条件。试验后的绝缘电阻应不小于100</w:t>
      </w:r>
      <w:r>
        <w:rPr>
          <w:rFonts w:ascii="Times New Roman" w:eastAsia="宋体"/>
        </w:rPr>
        <w:t xml:space="preserve"> Ω/V</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bookmarkStart w:id="760" w:name="_Toc468729509"/>
      <w:r>
        <w:rPr>
          <w:rFonts w:hint="eastAsia" w:ascii="Times New Roman" w:eastAsia="宋体"/>
        </w:rPr>
        <w:t>电池系统按照8.2.1</w:t>
      </w:r>
      <w:r>
        <w:rPr>
          <w:rFonts w:ascii="Times New Roman" w:eastAsia="宋体"/>
        </w:rPr>
        <w:t>1</w:t>
      </w:r>
      <w:r>
        <w:rPr>
          <w:rFonts w:hint="eastAsia" w:ascii="Times New Roman" w:eastAsia="宋体"/>
        </w:rPr>
        <w:t>进行过温保护试验，应</w:t>
      </w:r>
      <w:bookmarkEnd w:id="760"/>
      <w:bookmarkStart w:id="761" w:name="_Toc468729510"/>
      <w:r>
        <w:rPr>
          <w:rFonts w:ascii="Times New Roman" w:eastAsia="宋体"/>
        </w:rPr>
        <w:t>无泄漏、外壳破裂、起火或爆炸现象</w:t>
      </w:r>
      <w:r>
        <w:rPr>
          <w:rFonts w:hint="eastAsia" w:ascii="Times New Roman" w:eastAsia="宋体"/>
        </w:rPr>
        <w:t>，且不触发异常终止条件。</w:t>
      </w:r>
      <w:r>
        <w:rPr>
          <w:rFonts w:ascii="Times New Roman" w:eastAsia="宋体"/>
        </w:rPr>
        <w:t>试验后的绝缘电阻</w:t>
      </w:r>
      <w:r>
        <w:rPr>
          <w:rFonts w:hint="eastAsia" w:ascii="Times New Roman" w:eastAsia="宋体"/>
        </w:rPr>
        <w:t>应</w:t>
      </w:r>
      <w:r>
        <w:rPr>
          <w:rFonts w:ascii="Times New Roman" w:eastAsia="宋体"/>
        </w:rPr>
        <w:t>不小于100 Ω/V</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bookmarkEnd w:id="761"/>
    <w:p>
      <w:pPr>
        <w:pStyle w:val="46"/>
        <w:spacing w:before="156" w:after="156"/>
        <w:ind w:left="-2" w:leftChars="-1"/>
        <w:jc w:val="both"/>
        <w:outlineLvl w:val="9"/>
        <w:rPr>
          <w:rFonts w:ascii="Times New Roman" w:eastAsia="宋体"/>
        </w:rPr>
      </w:pPr>
      <w:bookmarkStart w:id="762" w:name="_Toc468729511"/>
      <w:r>
        <w:rPr>
          <w:rFonts w:hint="eastAsia" w:ascii="Times New Roman" w:eastAsia="宋体"/>
        </w:rPr>
        <w:t>电池系统按照8.2.1</w:t>
      </w:r>
      <w:r>
        <w:rPr>
          <w:rFonts w:ascii="Times New Roman" w:eastAsia="宋体"/>
        </w:rPr>
        <w:t>2</w:t>
      </w:r>
      <w:r>
        <w:rPr>
          <w:rFonts w:hint="eastAsia" w:ascii="Times New Roman" w:eastAsia="宋体"/>
        </w:rPr>
        <w:t>进行过流保护试验，</w:t>
      </w:r>
      <w:bookmarkEnd w:id="762"/>
      <w:r>
        <w:rPr>
          <w:rFonts w:hint="eastAsia" w:ascii="Times New Roman" w:eastAsia="宋体"/>
        </w:rPr>
        <w:t>应</w:t>
      </w:r>
      <w:r>
        <w:rPr>
          <w:rFonts w:ascii="Times New Roman" w:eastAsia="宋体"/>
        </w:rPr>
        <w:t>无泄漏、外壳破裂、起火或爆炸现象</w:t>
      </w:r>
      <w:r>
        <w:rPr>
          <w:rFonts w:hint="eastAsia" w:ascii="Times New Roman" w:eastAsia="宋体"/>
        </w:rPr>
        <w:t>，且不触发异常终止条件。</w:t>
      </w:r>
      <w:r>
        <w:rPr>
          <w:rFonts w:ascii="Times New Roman" w:eastAsia="宋体"/>
        </w:rPr>
        <w:t>试验后的绝缘电阻</w:t>
      </w:r>
      <w:r>
        <w:rPr>
          <w:rFonts w:hint="eastAsia" w:ascii="Times New Roman" w:eastAsia="宋体"/>
        </w:rPr>
        <w:t>应</w:t>
      </w:r>
      <w:r>
        <w:rPr>
          <w:rFonts w:ascii="Times New Roman" w:eastAsia="宋体"/>
        </w:rPr>
        <w:t>不小于100 Ω/V</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bookmarkStart w:id="763" w:name="_Toc468729512"/>
      <w:r>
        <w:rPr>
          <w:rFonts w:hint="eastAsia" w:ascii="Times New Roman" w:eastAsia="宋体"/>
        </w:rPr>
        <w:t>电池系统按照8.2.1</w:t>
      </w:r>
      <w:r>
        <w:rPr>
          <w:rFonts w:ascii="Times New Roman" w:eastAsia="宋体"/>
        </w:rPr>
        <w:t>3</w:t>
      </w:r>
      <w:r>
        <w:rPr>
          <w:rFonts w:hint="eastAsia" w:ascii="Times New Roman" w:eastAsia="宋体"/>
        </w:rPr>
        <w:t>进行外部短路保护试验，</w:t>
      </w:r>
      <w:bookmarkEnd w:id="763"/>
      <w:r>
        <w:rPr>
          <w:rFonts w:hint="eastAsia" w:ascii="Times New Roman" w:eastAsia="宋体"/>
        </w:rPr>
        <w:t>应</w:t>
      </w:r>
      <w:r>
        <w:rPr>
          <w:rFonts w:ascii="Times New Roman" w:eastAsia="宋体"/>
        </w:rPr>
        <w:t>无泄漏、外壳破裂、起火或爆炸现象。试验后的绝缘电阻</w:t>
      </w:r>
      <w:r>
        <w:rPr>
          <w:rFonts w:hint="eastAsia" w:ascii="Times New Roman" w:eastAsia="宋体"/>
        </w:rPr>
        <w:t>应</w:t>
      </w:r>
      <w:r>
        <w:rPr>
          <w:rFonts w:ascii="Times New Roman" w:eastAsia="宋体"/>
        </w:rPr>
        <w:t>不小于100 Ω/V</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宋体"/>
        </w:rPr>
      </w:pPr>
      <w:bookmarkStart w:id="764" w:name="_Toc468729513"/>
      <w:r>
        <w:rPr>
          <w:rFonts w:hint="eastAsia" w:ascii="Times New Roman" w:eastAsia="宋体"/>
        </w:rPr>
        <w:t>电池系统按照8.2.1</w:t>
      </w:r>
      <w:r>
        <w:rPr>
          <w:rFonts w:ascii="Times New Roman" w:eastAsia="宋体"/>
        </w:rPr>
        <w:t>4</w:t>
      </w:r>
      <w:r>
        <w:rPr>
          <w:rFonts w:hint="eastAsia" w:ascii="Times New Roman" w:eastAsia="宋体"/>
        </w:rPr>
        <w:t>进行过充电保护试验，</w:t>
      </w:r>
      <w:bookmarkEnd w:id="764"/>
      <w:r>
        <w:rPr>
          <w:rFonts w:hint="eastAsia" w:ascii="Times New Roman" w:eastAsia="宋体"/>
        </w:rPr>
        <w:t>应</w:t>
      </w:r>
      <w:r>
        <w:rPr>
          <w:rFonts w:ascii="Times New Roman" w:eastAsia="宋体"/>
        </w:rPr>
        <w:t>无泄漏、外壳破裂、起火或爆炸现象</w:t>
      </w:r>
      <w:r>
        <w:rPr>
          <w:rFonts w:hint="eastAsia" w:ascii="Times New Roman" w:eastAsia="宋体"/>
        </w:rPr>
        <w:t>，且不触发异常终止条件。</w:t>
      </w:r>
      <w:r>
        <w:rPr>
          <w:rFonts w:ascii="Times New Roman" w:eastAsia="宋体"/>
        </w:rPr>
        <w:t>试验后的绝缘电阻</w:t>
      </w:r>
      <w:r>
        <w:rPr>
          <w:rFonts w:hint="eastAsia" w:ascii="Times New Roman" w:eastAsia="宋体"/>
        </w:rPr>
        <w:t>应</w:t>
      </w:r>
      <w:r>
        <w:rPr>
          <w:rFonts w:ascii="Times New Roman" w:eastAsia="宋体"/>
        </w:rPr>
        <w:t>不小于100 Ω/V</w:t>
      </w:r>
      <w:r>
        <w:rPr>
          <w:rFonts w:hint="eastAsia" w:ascii="Times New Roman" w:eastAsia="宋体"/>
        </w:rPr>
        <w:t>。若有交流电路，绝缘电阻应不小于</w:t>
      </w:r>
      <w:r>
        <w:rPr>
          <w:rFonts w:ascii="Times New Roman" w:eastAsia="宋体"/>
        </w:rPr>
        <w:t>500Ω/V</w:t>
      </w:r>
      <w:r>
        <w:rPr>
          <w:rFonts w:hint="eastAsia" w:ascii="Times New Roman" w:eastAsia="宋体"/>
        </w:rPr>
        <w:t>。</w:t>
      </w:r>
    </w:p>
    <w:p>
      <w:pPr>
        <w:pStyle w:val="46"/>
        <w:spacing w:before="156" w:after="156"/>
        <w:ind w:left="-2" w:leftChars="-1"/>
        <w:jc w:val="both"/>
        <w:outlineLvl w:val="9"/>
        <w:rPr>
          <w:rFonts w:ascii="Times New Roman" w:eastAsiaTheme="majorEastAsia"/>
        </w:rPr>
      </w:pPr>
      <w:bookmarkStart w:id="765" w:name="_Toc468729514"/>
      <w:r>
        <w:rPr>
          <w:rFonts w:hint="eastAsia" w:ascii="Times New Roman" w:eastAsia="宋体"/>
        </w:rPr>
        <w:t>电池系统按照8.2.1</w:t>
      </w:r>
      <w:r>
        <w:rPr>
          <w:rFonts w:ascii="Times New Roman" w:eastAsia="宋体"/>
        </w:rPr>
        <w:t>5</w:t>
      </w:r>
      <w:r>
        <w:rPr>
          <w:rFonts w:hint="eastAsia" w:ascii="Times New Roman" w:eastAsia="宋体"/>
        </w:rPr>
        <w:t>进行过放电保护试验，</w:t>
      </w:r>
      <w:bookmarkEnd w:id="765"/>
      <w:r>
        <w:rPr>
          <w:rFonts w:hint="eastAsia" w:ascii="Times New Roman" w:eastAsia="宋体"/>
        </w:rPr>
        <w:t>应</w:t>
      </w:r>
      <w:r>
        <w:rPr>
          <w:rFonts w:ascii="Times New Roman" w:eastAsia="宋体"/>
        </w:rPr>
        <w:t>无泄漏、外壳破裂、起火或爆炸现象。试验后的绝缘电阻</w:t>
      </w:r>
      <w:r>
        <w:rPr>
          <w:rFonts w:hint="eastAsia" w:ascii="Times New Roman" w:eastAsia="宋体"/>
        </w:rPr>
        <w:t>应</w:t>
      </w:r>
      <w:r>
        <w:rPr>
          <w:rFonts w:ascii="Times New Roman" w:eastAsia="宋体"/>
        </w:rPr>
        <w:t>不小于100 Ω/V</w:t>
      </w:r>
      <w:r>
        <w:rPr>
          <w:rFonts w:hint="eastAsia" w:ascii="Times New Roman" w:eastAsia="宋体"/>
        </w:rPr>
        <w:t>。</w:t>
      </w:r>
      <w:r>
        <w:rPr>
          <w:rFonts w:hint="eastAsia" w:ascii="Times New Roman" w:eastAsiaTheme="majorEastAsia"/>
        </w:rPr>
        <w:t>若有交流电路，绝缘电阻应不小于</w:t>
      </w:r>
      <w:r>
        <w:rPr>
          <w:rFonts w:ascii="Times New Roman" w:eastAsiaTheme="majorEastAsia"/>
        </w:rPr>
        <w:t>500Ω/V</w:t>
      </w:r>
      <w:r>
        <w:rPr>
          <w:rFonts w:hint="eastAsia" w:ascii="Times New Roman" w:eastAsiaTheme="majorEastAsia"/>
        </w:rPr>
        <w:t>。</w:t>
      </w:r>
    </w:p>
    <w:p>
      <w:pPr>
        <w:pStyle w:val="46"/>
        <w:spacing w:before="156" w:after="156"/>
        <w:ind w:left="-2" w:leftChars="-1"/>
        <w:jc w:val="both"/>
        <w:outlineLvl w:val="9"/>
        <w:rPr>
          <w:rFonts w:ascii="Times New Roman"/>
        </w:rPr>
      </w:pPr>
      <w:r>
        <w:rPr>
          <w:rFonts w:ascii="Times New Roman" w:eastAsia="宋体"/>
        </w:rPr>
        <w:t>电池包或系统或整车按照8.2.16 进行底部撞击试验，应无泄漏、外壳破裂、起火或爆炸现象。试验后的绝缘电阻应不小于100 Ω/V。若有交流电路，绝缘电阻应不小于500Ω/V。</w:t>
      </w:r>
    </w:p>
    <w:p>
      <w:pPr>
        <w:pStyle w:val="45"/>
        <w:spacing w:before="312" w:after="312"/>
        <w:rPr>
          <w:rFonts w:ascii="Times New Roman"/>
          <w:color w:val="000000" w:themeColor="text1"/>
          <w14:textFill>
            <w14:solidFill>
              <w14:schemeClr w14:val="tx1"/>
            </w14:solidFill>
          </w14:textFill>
        </w:rPr>
      </w:pPr>
      <w:bookmarkStart w:id="766" w:name="_Toc513234321"/>
      <w:r>
        <w:rPr>
          <w:rFonts w:ascii="Times New Roman"/>
          <w:color w:val="000000" w:themeColor="text1"/>
          <w14:textFill>
            <w14:solidFill>
              <w14:schemeClr w14:val="tx1"/>
            </w14:solidFill>
          </w14:textFill>
        </w:rPr>
        <w:t>试验条件</w:t>
      </w:r>
      <w:bookmarkEnd w:id="730"/>
      <w:bookmarkEnd w:id="766"/>
    </w:p>
    <w:p>
      <w:pPr>
        <w:pStyle w:val="42"/>
        <w:spacing w:before="156" w:after="156"/>
        <w:ind w:left="0"/>
        <w:rPr>
          <w:rFonts w:hAnsi="黑体"/>
        </w:rPr>
      </w:pPr>
      <w:bookmarkStart w:id="767" w:name="_Toc513234322"/>
      <w:r>
        <w:rPr>
          <w:rFonts w:hint="eastAsia" w:hAnsi="黑体"/>
        </w:rPr>
        <w:t>一般条件</w:t>
      </w:r>
      <w:bookmarkEnd w:id="767"/>
    </w:p>
    <w:p>
      <w:pPr>
        <w:pStyle w:val="46"/>
        <w:spacing w:before="156" w:after="156"/>
        <w:ind w:left="2"/>
        <w:jc w:val="both"/>
        <w:outlineLvl w:val="2"/>
        <w:rPr>
          <w:rFonts w:ascii="Times New Roman" w:eastAsia="宋体"/>
        </w:rPr>
      </w:pPr>
      <w:bookmarkStart w:id="768" w:name="_Toc495431191"/>
      <w:bookmarkStart w:id="769" w:name="_Toc476948674"/>
      <w:bookmarkStart w:id="770" w:name="_Toc478411940"/>
      <w:bookmarkStart w:id="771" w:name="_Toc511045345"/>
      <w:bookmarkStart w:id="772" w:name="_Toc513232459"/>
      <w:bookmarkStart w:id="773" w:name="_Toc491440251"/>
      <w:bookmarkStart w:id="774" w:name="_Toc504059407"/>
      <w:bookmarkStart w:id="775" w:name="_Toc513234323"/>
      <w:bookmarkStart w:id="776" w:name="_Toc512454235"/>
      <w:bookmarkStart w:id="777" w:name="_Toc477502353"/>
      <w:bookmarkStart w:id="778" w:name="_Toc497749546"/>
      <w:bookmarkStart w:id="779" w:name="_Toc450729773"/>
      <w:bookmarkStart w:id="780" w:name="_Toc477380590"/>
      <w:bookmarkStart w:id="781" w:name="_Toc511831682"/>
      <w:bookmarkStart w:id="782" w:name="_Toc477465976"/>
      <w:bookmarkStart w:id="783" w:name="_Toc501358480"/>
      <w:bookmarkStart w:id="784" w:name="_Toc510644209"/>
      <w:bookmarkStart w:id="785" w:name="_Toc512347087"/>
      <w:bookmarkStart w:id="786" w:name="_Toc450682886"/>
      <w:bookmarkStart w:id="787" w:name="_Toc478329005"/>
      <w:bookmarkStart w:id="788" w:name="_Toc450682887"/>
      <w:bookmarkStart w:id="789" w:name="_Toc450729774"/>
      <w:r>
        <w:rPr>
          <w:rFonts w:hint="eastAsia" w:asciiTheme="minorEastAsia" w:hAnsiTheme="minorEastAsia" w:eastAsiaTheme="minorEastAsia"/>
        </w:rPr>
        <w:t>除另有规定，</w:t>
      </w:r>
      <w:r>
        <w:rPr>
          <w:rFonts w:hint="eastAsia" w:ascii="Times New Roman" w:eastAsia="宋体"/>
        </w:rPr>
        <w:t>试验环境温度为</w:t>
      </w:r>
      <w:r>
        <w:rPr>
          <w:rFonts w:ascii="Times New Roman" w:eastAsia="宋体"/>
        </w:rPr>
        <w:t xml:space="preserve">22 </w:t>
      </w:r>
      <w:r>
        <w:rPr>
          <w:rFonts w:hint="eastAsia" w:ascii="Times New Roman" w:eastAsia="宋体"/>
        </w:rPr>
        <w:t>℃±5</w:t>
      </w:r>
      <w:r>
        <w:rPr>
          <w:rFonts w:ascii="Times New Roman" w:eastAsia="宋体"/>
        </w:rPr>
        <w:t xml:space="preserve"> </w:t>
      </w:r>
      <w:r>
        <w:rPr>
          <w:rFonts w:hint="eastAsia" w:ascii="Times New Roman" w:eastAsia="宋体"/>
        </w:rPr>
        <w:t>℃，相对湿度为10</w:t>
      </w:r>
      <w:r>
        <w:rPr>
          <w:rFonts w:ascii="Times New Roman" w:eastAsia="宋体"/>
        </w:rPr>
        <w:t>%</w:t>
      </w:r>
      <w:r>
        <w:rPr>
          <w:rFonts w:hint="eastAsia" w:ascii="Times New Roman" w:eastAsia="宋体"/>
        </w:rPr>
        <w:t>～90%，大气压力为</w:t>
      </w:r>
      <w:r>
        <w:rPr>
          <w:rFonts w:ascii="Times New Roman" w:eastAsia="宋体"/>
        </w:rPr>
        <w:t xml:space="preserve">86 </w:t>
      </w:r>
      <w:r>
        <w:rPr>
          <w:rFonts w:hint="eastAsia" w:ascii="Times New Roman" w:eastAsia="宋体"/>
        </w:rPr>
        <w:t>kPa～106</w:t>
      </w:r>
      <w:r>
        <w:rPr>
          <w:rFonts w:ascii="Times New Roman" w:eastAsia="宋体"/>
        </w:rPr>
        <w:t xml:space="preserve"> </w:t>
      </w:r>
      <w:r>
        <w:rPr>
          <w:rFonts w:hint="eastAsia" w:ascii="Times New Roman" w:eastAsia="宋体"/>
        </w:rPr>
        <w:t>kPa。</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46"/>
        <w:spacing w:before="156" w:after="156"/>
        <w:ind w:left="2"/>
        <w:jc w:val="both"/>
        <w:outlineLvl w:val="2"/>
        <w:rPr>
          <w:rFonts w:asciiTheme="minorEastAsia" w:hAnsiTheme="minorEastAsia" w:eastAsiaTheme="minorEastAsia"/>
        </w:rPr>
      </w:pPr>
      <w:bookmarkStart w:id="790" w:name="_Toc504059408"/>
      <w:bookmarkStart w:id="791" w:name="_Toc510644210"/>
      <w:bookmarkStart w:id="792" w:name="_Toc511831683"/>
      <w:bookmarkStart w:id="793" w:name="_Toc513232460"/>
      <w:bookmarkStart w:id="794" w:name="_Toc513234324"/>
      <w:bookmarkStart w:id="795" w:name="_Toc512454236"/>
      <w:bookmarkStart w:id="796" w:name="_Toc501358481"/>
      <w:bookmarkStart w:id="797" w:name="_Toc512347088"/>
      <w:bookmarkStart w:id="798" w:name="_Toc511045346"/>
      <w:bookmarkStart w:id="799" w:name="_Toc495431192"/>
      <w:bookmarkStart w:id="800" w:name="_Toc497749547"/>
      <w:r>
        <w:rPr>
          <w:rFonts w:ascii="Times New Roman" w:eastAsiaTheme="minorEastAsia"/>
        </w:rPr>
        <w:t>8.1</w:t>
      </w:r>
      <w:r>
        <w:rPr>
          <w:rFonts w:asciiTheme="minorEastAsia" w:hAnsiTheme="minorEastAsia" w:eastAsiaTheme="minorEastAsia"/>
        </w:rPr>
        <w:t>的试验对象为电池单体，若电池单体无法</w:t>
      </w:r>
      <w:r>
        <w:rPr>
          <w:rFonts w:hint="eastAsia" w:asciiTheme="minorEastAsia" w:hAnsiTheme="minorEastAsia" w:eastAsiaTheme="minorEastAsia"/>
        </w:rPr>
        <w:t>独立</w:t>
      </w:r>
      <w:r>
        <w:rPr>
          <w:rFonts w:asciiTheme="minorEastAsia" w:hAnsiTheme="minorEastAsia" w:eastAsiaTheme="minorEastAsia"/>
        </w:rPr>
        <w:t>工作，可采用</w:t>
      </w:r>
      <w:r>
        <w:rPr>
          <w:rFonts w:hint="eastAsia" w:asciiTheme="minorEastAsia" w:hAnsiTheme="minorEastAsia" w:eastAsiaTheme="minorEastAsia"/>
        </w:rPr>
        <w:t>电池</w:t>
      </w:r>
      <w:r>
        <w:rPr>
          <w:rFonts w:asciiTheme="minorEastAsia" w:hAnsiTheme="minorEastAsia" w:eastAsiaTheme="minorEastAsia"/>
        </w:rPr>
        <w:t>模块进行试验，安全要求仍按照</w:t>
      </w:r>
      <w:r>
        <w:rPr>
          <w:rFonts w:ascii="Times New Roman" w:eastAsiaTheme="minorEastAsia"/>
        </w:rPr>
        <w:t>5.1</w:t>
      </w:r>
      <w:r>
        <w:rPr>
          <w:rFonts w:asciiTheme="minorEastAsia" w:hAnsiTheme="minorEastAsia" w:eastAsiaTheme="minorEastAsia"/>
        </w:rPr>
        <w:t>执行。</w:t>
      </w:r>
      <w:bookmarkEnd w:id="790"/>
      <w:bookmarkEnd w:id="791"/>
      <w:bookmarkEnd w:id="792"/>
      <w:bookmarkEnd w:id="793"/>
      <w:bookmarkEnd w:id="794"/>
      <w:bookmarkEnd w:id="795"/>
      <w:bookmarkEnd w:id="796"/>
      <w:bookmarkEnd w:id="797"/>
      <w:bookmarkEnd w:id="798"/>
    </w:p>
    <w:p>
      <w:pPr>
        <w:pStyle w:val="46"/>
        <w:spacing w:before="156" w:after="156"/>
        <w:ind w:left="2"/>
        <w:outlineLvl w:val="2"/>
        <w:rPr>
          <w:rFonts w:asciiTheme="minorEastAsia" w:hAnsiTheme="minorEastAsia" w:eastAsiaTheme="minorEastAsia"/>
        </w:rPr>
      </w:pPr>
      <w:bookmarkStart w:id="801" w:name="_Toc512454237"/>
      <w:bookmarkStart w:id="802" w:name="_Toc511045347"/>
      <w:bookmarkStart w:id="803" w:name="_Toc512347089"/>
      <w:bookmarkStart w:id="804" w:name="_Toc510644211"/>
      <w:bookmarkStart w:id="805" w:name="_Toc513232461"/>
      <w:bookmarkStart w:id="806" w:name="_Toc511831684"/>
      <w:bookmarkStart w:id="807" w:name="_Toc504059409"/>
      <w:bookmarkStart w:id="808" w:name="_Toc513234325"/>
      <w:bookmarkStart w:id="809" w:name="_Toc501358482"/>
      <w:r>
        <w:rPr>
          <w:rFonts w:asciiTheme="minorEastAsia" w:hAnsiTheme="minorEastAsia" w:eastAsiaTheme="minorEastAsia"/>
        </w:rPr>
        <w:t>对于由车体包覆并构成电池包箱体的</w:t>
      </w:r>
      <w:r>
        <w:rPr>
          <w:rFonts w:hint="eastAsia" w:asciiTheme="minorEastAsia" w:hAnsiTheme="minorEastAsia" w:eastAsiaTheme="minorEastAsia"/>
        </w:rPr>
        <w:t>电池包或系统</w:t>
      </w:r>
      <w:r>
        <w:rPr>
          <w:rFonts w:asciiTheme="minorEastAsia" w:hAnsiTheme="minorEastAsia" w:eastAsiaTheme="minorEastAsia"/>
        </w:rPr>
        <w:t>，</w:t>
      </w:r>
      <w:r>
        <w:rPr>
          <w:rFonts w:hint="eastAsia" w:asciiTheme="minorEastAsia" w:hAnsiTheme="minorEastAsia" w:eastAsiaTheme="minorEastAsia"/>
        </w:rPr>
        <w:t>可</w:t>
      </w:r>
      <w:r>
        <w:rPr>
          <w:rFonts w:asciiTheme="minorEastAsia" w:hAnsiTheme="minorEastAsia" w:eastAsiaTheme="minorEastAsia"/>
        </w:rPr>
        <w:t>带箱体或车体测试</w:t>
      </w:r>
      <w:r>
        <w:rPr>
          <w:rFonts w:hint="eastAsia" w:asciiTheme="minorEastAsia" w:hAnsiTheme="minorEastAsia" w:eastAsiaTheme="minorEastAsia"/>
        </w:rPr>
        <w:t>。</w:t>
      </w:r>
      <w:bookmarkEnd w:id="799"/>
      <w:bookmarkEnd w:id="800"/>
      <w:bookmarkEnd w:id="801"/>
      <w:bookmarkEnd w:id="802"/>
      <w:bookmarkEnd w:id="803"/>
      <w:bookmarkEnd w:id="804"/>
      <w:bookmarkEnd w:id="805"/>
      <w:bookmarkEnd w:id="806"/>
      <w:bookmarkEnd w:id="807"/>
      <w:bookmarkEnd w:id="808"/>
      <w:bookmarkEnd w:id="809"/>
    </w:p>
    <w:p>
      <w:pPr>
        <w:pStyle w:val="46"/>
        <w:spacing w:before="156" w:after="156"/>
        <w:ind w:left="2"/>
        <w:jc w:val="both"/>
        <w:outlineLvl w:val="2"/>
        <w:rPr>
          <w:rFonts w:asciiTheme="minorEastAsia" w:hAnsiTheme="minorEastAsia" w:eastAsiaTheme="minorEastAsia"/>
        </w:rPr>
      </w:pPr>
      <w:bookmarkStart w:id="810" w:name="_Toc477465977"/>
      <w:bookmarkStart w:id="811" w:name="_Toc501358483"/>
      <w:bookmarkStart w:id="812" w:name="_Toc476948675"/>
      <w:bookmarkStart w:id="813" w:name="_Toc513232462"/>
      <w:bookmarkStart w:id="814" w:name="_Toc477502354"/>
      <w:bookmarkStart w:id="815" w:name="_Toc497749548"/>
      <w:bookmarkStart w:id="816" w:name="_Toc512454238"/>
      <w:bookmarkStart w:id="817" w:name="_Toc504059410"/>
      <w:bookmarkStart w:id="818" w:name="_Toc478411941"/>
      <w:bookmarkStart w:id="819" w:name="_Toc495431193"/>
      <w:bookmarkStart w:id="820" w:name="_Toc477380591"/>
      <w:bookmarkStart w:id="821" w:name="_Toc511831685"/>
      <w:bookmarkStart w:id="822" w:name="_Toc513234326"/>
      <w:bookmarkStart w:id="823" w:name="_Toc510644212"/>
      <w:bookmarkStart w:id="824" w:name="_Toc478329006"/>
      <w:bookmarkStart w:id="825" w:name="_Toc512347090"/>
      <w:bookmarkStart w:id="826" w:name="_Toc511045348"/>
      <w:bookmarkStart w:id="827" w:name="_Toc491440252"/>
      <w:r>
        <w:rPr>
          <w:rFonts w:hint="eastAsia" w:asciiTheme="minorEastAsia" w:hAnsiTheme="minorEastAsia" w:eastAsiaTheme="minorEastAsia"/>
        </w:rPr>
        <w:t>电池包或系统试验交付需要包括必要的操作文件，以及和测试设备相连所需的接口部件，如连接器，插头，包括冷却系统接口，电池包或系统的典型结构参见</w:t>
      </w:r>
      <w:r>
        <w:rPr>
          <w:rFonts w:hint="eastAsia" w:ascii="Times New Roman" w:eastAsia="宋体"/>
        </w:rPr>
        <w:t>附录A。另外，</w:t>
      </w:r>
      <w:r>
        <w:rPr>
          <w:rFonts w:asciiTheme="minorEastAsia" w:hAnsiTheme="minorEastAsia" w:eastAsiaTheme="minorEastAsia"/>
        </w:rPr>
        <w:t>额外配备的传感器、导线和夹具</w:t>
      </w:r>
      <w:r>
        <w:rPr>
          <w:rFonts w:hint="eastAsia" w:asciiTheme="minorEastAsia" w:hAnsiTheme="minorEastAsia" w:eastAsiaTheme="minorEastAsia"/>
        </w:rPr>
        <w:t>应不</w:t>
      </w:r>
      <w:r>
        <w:rPr>
          <w:rFonts w:asciiTheme="minorEastAsia" w:hAnsiTheme="minorEastAsia" w:eastAsiaTheme="minorEastAsia"/>
        </w:rPr>
        <w:t>影响试验结果</w:t>
      </w:r>
      <w:r>
        <w:rPr>
          <w:rFonts w:hint="eastAsia" w:asciiTheme="minorEastAsia" w:hAnsiTheme="minorEastAsia" w:eastAsiaTheme="minorEastAsia"/>
        </w:rPr>
        <w:t>。</w:t>
      </w:r>
      <w:r>
        <w:rPr>
          <w:rFonts w:hint="eastAsia" w:ascii="Times New Roman" w:eastAsia="宋体"/>
        </w:rPr>
        <w:t>制造</w:t>
      </w:r>
      <w:r>
        <w:rPr>
          <w:rFonts w:hint="eastAsia" w:asciiTheme="minorEastAsia" w:hAnsiTheme="minorEastAsia" w:eastAsiaTheme="minorEastAsia"/>
        </w:rPr>
        <w:t>商需要提供电池包或系统的安全工作限值。</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46"/>
        <w:spacing w:before="156" w:after="156"/>
        <w:ind w:left="2"/>
        <w:jc w:val="both"/>
        <w:outlineLvl w:val="2"/>
        <w:rPr>
          <w:rFonts w:ascii="Times New Roman" w:eastAsia="宋体"/>
        </w:rPr>
      </w:pPr>
      <w:bookmarkStart w:id="828" w:name="_Toc512454239"/>
      <w:bookmarkStart w:id="829" w:name="_Toc478329007"/>
      <w:bookmarkStart w:id="830" w:name="_Toc477380592"/>
      <w:bookmarkStart w:id="831" w:name="_Toc501358484"/>
      <w:bookmarkStart w:id="832" w:name="_Toc504059411"/>
      <w:bookmarkStart w:id="833" w:name="_Toc476948676"/>
      <w:bookmarkStart w:id="834" w:name="_Toc497749549"/>
      <w:bookmarkStart w:id="835" w:name="_Toc491440253"/>
      <w:bookmarkStart w:id="836" w:name="_Toc477502355"/>
      <w:bookmarkStart w:id="837" w:name="_Toc513232463"/>
      <w:bookmarkStart w:id="838" w:name="_Toc477465978"/>
      <w:bookmarkStart w:id="839" w:name="_Toc512347091"/>
      <w:bookmarkStart w:id="840" w:name="_Toc511831686"/>
      <w:bookmarkStart w:id="841" w:name="_Toc495431194"/>
      <w:bookmarkStart w:id="842" w:name="_Toc510644213"/>
      <w:bookmarkStart w:id="843" w:name="_Toc513234327"/>
      <w:bookmarkStart w:id="844" w:name="_Toc511045349"/>
      <w:bookmarkStart w:id="845" w:name="_Toc478411942"/>
      <w:r>
        <w:rPr>
          <w:rFonts w:hint="eastAsia" w:asciiTheme="minorEastAsia" w:hAnsiTheme="minorEastAsia" w:eastAsiaTheme="minorEastAsia"/>
        </w:rPr>
        <w:t>电池包或系统在所有测试前和</w:t>
      </w:r>
      <w:r>
        <w:rPr>
          <w:rFonts w:asciiTheme="minorEastAsia" w:hAnsiTheme="minorEastAsia" w:eastAsiaTheme="minorEastAsia"/>
        </w:rPr>
        <w:t>部分试验后</w:t>
      </w:r>
      <w:r>
        <w:rPr>
          <w:rFonts w:hint="eastAsia" w:asciiTheme="minorEastAsia" w:hAnsiTheme="minorEastAsia" w:eastAsiaTheme="minorEastAsia"/>
        </w:rPr>
        <w:t>需进行绝缘电阻测试。测试位置为：两个端子</w:t>
      </w:r>
      <w:r>
        <w:rPr>
          <w:rFonts w:asciiTheme="minorEastAsia" w:hAnsiTheme="minorEastAsia" w:eastAsiaTheme="minorEastAsia"/>
        </w:rPr>
        <w:t>和电平台之间。要求</w:t>
      </w:r>
      <w:r>
        <w:rPr>
          <w:rFonts w:hint="eastAsia" w:ascii="Times New Roman" w:eastAsia="宋体"/>
        </w:rPr>
        <w:t>测得</w:t>
      </w:r>
      <w:r>
        <w:rPr>
          <w:rFonts w:ascii="Times New Roman" w:eastAsia="宋体"/>
        </w:rPr>
        <w:t>的</w:t>
      </w:r>
      <w:r>
        <w:rPr>
          <w:rFonts w:asciiTheme="minorEastAsia" w:hAnsiTheme="minorEastAsia" w:eastAsiaTheme="minorEastAsia"/>
        </w:rPr>
        <w:t>绝缘电阻</w:t>
      </w:r>
      <w:r>
        <w:rPr>
          <w:rFonts w:ascii="Times New Roman" w:eastAsia="宋体"/>
        </w:rPr>
        <w:t>值</w:t>
      </w:r>
      <w:r>
        <w:rPr>
          <w:rFonts w:hint="eastAsia" w:ascii="Times New Roman" w:eastAsia="宋体"/>
        </w:rPr>
        <w:t>除以电池包或</w:t>
      </w:r>
      <w:r>
        <w:rPr>
          <w:rFonts w:ascii="Times New Roman" w:eastAsia="宋体"/>
        </w:rPr>
        <w:t>系统的最大工作电压</w:t>
      </w:r>
      <w:r>
        <w:rPr>
          <w:rFonts w:asciiTheme="minorEastAsia" w:hAnsiTheme="minorEastAsia" w:eastAsiaTheme="minorEastAsia"/>
        </w:rPr>
        <w:t>不小于</w:t>
      </w:r>
      <w:r>
        <w:rPr>
          <w:rFonts w:ascii="Times New Roman" w:eastAsia="宋体"/>
        </w:rPr>
        <w:t>100 Ω/V</w:t>
      </w:r>
      <w:r>
        <w:rPr>
          <w:rFonts w:hint="eastAsia" w:ascii="Times New Roman" w:eastAsia="宋体"/>
        </w:rPr>
        <w:t>。若有交流电路，则应不小于</w:t>
      </w:r>
      <w:r>
        <w:rPr>
          <w:rFonts w:ascii="Times New Roman" w:eastAsia="宋体"/>
        </w:rPr>
        <w:t>500Ω/V。</w:t>
      </w:r>
      <w:r>
        <w:rPr>
          <w:rFonts w:hint="eastAsia" w:ascii="Times New Roman" w:eastAsia="宋体"/>
        </w:rPr>
        <w:t>具体测试方法见附录B。</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46"/>
        <w:spacing w:before="156" w:after="156"/>
        <w:ind w:left="2"/>
        <w:jc w:val="both"/>
        <w:outlineLvl w:val="2"/>
        <w:rPr>
          <w:rFonts w:asciiTheme="minorEastAsia" w:hAnsiTheme="minorEastAsia" w:eastAsiaTheme="minorEastAsia"/>
        </w:rPr>
      </w:pPr>
      <w:bookmarkStart w:id="846" w:name="_Toc495431196"/>
      <w:bookmarkStart w:id="847" w:name="_Toc477380594"/>
      <w:bookmarkStart w:id="848" w:name="_Toc478329009"/>
      <w:bookmarkStart w:id="849" w:name="_Toc512347093"/>
      <w:bookmarkStart w:id="850" w:name="_Toc512454241"/>
      <w:bookmarkStart w:id="851" w:name="_Toc491440255"/>
      <w:bookmarkStart w:id="852" w:name="_Toc513232465"/>
      <w:bookmarkStart w:id="853" w:name="_Toc501358486"/>
      <w:bookmarkStart w:id="854" w:name="_Toc477465980"/>
      <w:bookmarkStart w:id="855" w:name="_Toc510644215"/>
      <w:bookmarkStart w:id="856" w:name="_Toc513234329"/>
      <w:bookmarkStart w:id="857" w:name="_Toc476948678"/>
      <w:bookmarkStart w:id="858" w:name="_Toc477502357"/>
      <w:bookmarkStart w:id="859" w:name="_Toc478411944"/>
      <w:bookmarkStart w:id="860" w:name="_Toc497749551"/>
      <w:bookmarkStart w:id="861" w:name="_Toc504059413"/>
      <w:bookmarkStart w:id="862" w:name="_Toc511045351"/>
      <w:bookmarkStart w:id="863" w:name="_Toc511831688"/>
      <w:r>
        <w:rPr>
          <w:rFonts w:asciiTheme="minorEastAsia" w:hAnsiTheme="minorEastAsia" w:eastAsiaTheme="minorEastAsia"/>
        </w:rPr>
        <w:t>如果电池包</w:t>
      </w:r>
      <w:r>
        <w:rPr>
          <w:rFonts w:hint="eastAsia" w:asciiTheme="minorEastAsia" w:hAnsiTheme="minorEastAsia" w:eastAsiaTheme="minorEastAsia"/>
        </w:rPr>
        <w:t>或</w:t>
      </w:r>
      <w:r>
        <w:rPr>
          <w:rFonts w:asciiTheme="minorEastAsia" w:hAnsiTheme="minorEastAsia" w:eastAsiaTheme="minorEastAsia"/>
        </w:rPr>
        <w:t>系统由于某些原因（如尺寸或</w:t>
      </w:r>
      <w:r>
        <w:rPr>
          <w:rFonts w:hint="eastAsia" w:asciiTheme="minorEastAsia" w:hAnsiTheme="minorEastAsia" w:eastAsiaTheme="minorEastAsia"/>
        </w:rPr>
        <w:t>质量</w:t>
      </w:r>
      <w:r>
        <w:rPr>
          <w:rFonts w:asciiTheme="minorEastAsia" w:hAnsiTheme="minorEastAsia" w:eastAsiaTheme="minorEastAsia"/>
        </w:rPr>
        <w:t>）不适合进行某些测试，那么</w:t>
      </w:r>
      <w:r>
        <w:rPr>
          <w:rFonts w:hint="eastAsia" w:asciiTheme="minorEastAsia" w:hAnsiTheme="minorEastAsia" w:eastAsiaTheme="minorEastAsia"/>
        </w:rPr>
        <w:t>制造商与检测机构</w:t>
      </w:r>
      <w:r>
        <w:rPr>
          <w:rFonts w:asciiTheme="minorEastAsia" w:hAnsiTheme="minorEastAsia" w:eastAsiaTheme="minorEastAsia"/>
        </w:rPr>
        <w:t>协商一致后可以用电池包</w:t>
      </w:r>
      <w:r>
        <w:rPr>
          <w:rFonts w:hint="eastAsia" w:asciiTheme="minorEastAsia" w:hAnsiTheme="minorEastAsia" w:eastAsiaTheme="minorEastAsia"/>
        </w:rPr>
        <w:t>或</w:t>
      </w:r>
      <w:r>
        <w:rPr>
          <w:rFonts w:asciiTheme="minorEastAsia" w:hAnsiTheme="minorEastAsia" w:eastAsiaTheme="minorEastAsia"/>
        </w:rPr>
        <w:t>系统的子系统代替作为试验对象，进行全部或部分测试，但是作为试验对象的子系统应包含和整车要求相关的所有部分</w:t>
      </w:r>
      <w:r>
        <w:rPr>
          <w:rFonts w:hint="eastAsia" w:asciiTheme="minorEastAsia" w:hAnsiTheme="minorEastAsia" w:eastAsiaTheme="minorEastAsia"/>
        </w:rPr>
        <w:t>（</w:t>
      </w:r>
      <w:r>
        <w:rPr>
          <w:rFonts w:asciiTheme="minorEastAsia" w:hAnsiTheme="minorEastAsia" w:eastAsiaTheme="minorEastAsia"/>
        </w:rPr>
        <w:t>如连接部件或保护部件等）。</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46"/>
        <w:spacing w:before="156" w:after="156"/>
        <w:ind w:left="2"/>
        <w:jc w:val="both"/>
        <w:outlineLvl w:val="2"/>
        <w:rPr>
          <w:rFonts w:asciiTheme="minorEastAsia" w:hAnsiTheme="minorEastAsia" w:eastAsiaTheme="minorEastAsia"/>
        </w:rPr>
      </w:pPr>
      <w:bookmarkStart w:id="864" w:name="_Toc512454242"/>
      <w:bookmarkStart w:id="865" w:name="_Toc477502358"/>
      <w:bookmarkStart w:id="866" w:name="_Toc491440256"/>
      <w:bookmarkStart w:id="867" w:name="_Toc477380595"/>
      <w:bookmarkStart w:id="868" w:name="_Toc478329010"/>
      <w:bookmarkStart w:id="869" w:name="_Toc511045352"/>
      <w:bookmarkStart w:id="870" w:name="_Toc512347094"/>
      <w:bookmarkStart w:id="871" w:name="_Toc477465981"/>
      <w:bookmarkStart w:id="872" w:name="_Toc513234330"/>
      <w:bookmarkStart w:id="873" w:name="_Toc495431197"/>
      <w:bookmarkStart w:id="874" w:name="_Toc497749552"/>
      <w:bookmarkStart w:id="875" w:name="_Toc511831689"/>
      <w:bookmarkStart w:id="876" w:name="_Toc501358487"/>
      <w:bookmarkStart w:id="877" w:name="_Toc478411945"/>
      <w:bookmarkStart w:id="878" w:name="_Toc510644216"/>
      <w:bookmarkStart w:id="879" w:name="_Toc513232466"/>
      <w:bookmarkStart w:id="880" w:name="_Toc504059414"/>
      <w:bookmarkStart w:id="881" w:name="_Toc476948679"/>
      <w:r>
        <w:rPr>
          <w:rFonts w:asciiTheme="minorEastAsia" w:hAnsiTheme="minorEastAsia" w:eastAsiaTheme="minorEastAsia"/>
        </w:rPr>
        <w:t>调整</w:t>
      </w:r>
      <w:r>
        <w:rPr>
          <w:rFonts w:ascii="Times New Roman" w:eastAsiaTheme="minorEastAsia"/>
        </w:rPr>
        <w:t>SOC</w:t>
      </w:r>
      <w:r>
        <w:rPr>
          <w:rFonts w:asciiTheme="minorEastAsia" w:hAnsiTheme="minorEastAsia" w:eastAsiaTheme="minorEastAsia"/>
        </w:rPr>
        <w:t>至</w:t>
      </w:r>
      <w:r>
        <w:rPr>
          <w:rFonts w:hint="eastAsia" w:asciiTheme="minorEastAsia" w:hAnsiTheme="minorEastAsia" w:eastAsiaTheme="minorEastAsia"/>
        </w:rPr>
        <w:t>试验</w:t>
      </w:r>
      <w:r>
        <w:rPr>
          <w:rFonts w:asciiTheme="minorEastAsia" w:hAnsiTheme="minorEastAsia" w:eastAsiaTheme="minorEastAsia"/>
        </w:rPr>
        <w:t>目标值</w:t>
      </w:r>
      <w:r>
        <w:rPr>
          <w:rFonts w:ascii="Times New Roman" w:eastAsiaTheme="minorEastAsia"/>
          <w:i/>
        </w:rPr>
        <w:t>n</w:t>
      </w:r>
      <w:r>
        <w:rPr>
          <w:rFonts w:ascii="Times New Roman" w:eastAsiaTheme="minorEastAsia"/>
        </w:rPr>
        <w:t>%</w:t>
      </w:r>
      <w:r>
        <w:rPr>
          <w:rFonts w:asciiTheme="minorEastAsia" w:hAnsiTheme="minorEastAsia" w:eastAsiaTheme="minorEastAsia"/>
        </w:rPr>
        <w:t>的方法</w:t>
      </w:r>
      <w:r>
        <w:rPr>
          <w:rFonts w:hint="eastAsia" w:asciiTheme="minorEastAsia" w:hAnsiTheme="minorEastAsia" w:eastAsiaTheme="minorEastAsia"/>
        </w:rPr>
        <w:t>：</w:t>
      </w:r>
      <w:r>
        <w:rPr>
          <w:rFonts w:asciiTheme="minorEastAsia" w:hAnsiTheme="minorEastAsia" w:eastAsiaTheme="minorEastAsia"/>
        </w:rPr>
        <w:t>按制造商提供的充电方式将电池包</w:t>
      </w:r>
      <w:r>
        <w:rPr>
          <w:rFonts w:hint="eastAsia" w:asciiTheme="minorEastAsia" w:hAnsiTheme="minorEastAsia" w:eastAsiaTheme="minorEastAsia"/>
        </w:rPr>
        <w:t>或</w:t>
      </w:r>
      <w:r>
        <w:rPr>
          <w:rFonts w:asciiTheme="minorEastAsia" w:hAnsiTheme="minorEastAsia" w:eastAsiaTheme="minorEastAsia"/>
        </w:rPr>
        <w:t>系统充满电，静置</w:t>
      </w:r>
      <w:r>
        <w:rPr>
          <w:rFonts w:ascii="Times New Roman" w:eastAsiaTheme="minorEastAsia"/>
        </w:rPr>
        <w:t>1 h</w:t>
      </w:r>
      <w:r>
        <w:rPr>
          <w:rFonts w:hint="eastAsia" w:asciiTheme="minorEastAsia" w:hAnsiTheme="minorEastAsia" w:eastAsiaTheme="minorEastAsia"/>
        </w:rPr>
        <w:t>，以</w:t>
      </w:r>
      <w:r>
        <w:rPr>
          <w:rFonts w:ascii="Times New Roman" w:eastAsiaTheme="minorEastAsia"/>
        </w:rPr>
        <w:t xml:space="preserve">1 </w:t>
      </w:r>
      <w:r>
        <w:rPr>
          <w:rFonts w:ascii="Times New Roman" w:eastAsiaTheme="minorEastAsia"/>
          <w:i/>
        </w:rPr>
        <w:t>I</w:t>
      </w:r>
      <w:r>
        <w:rPr>
          <w:rFonts w:ascii="Times New Roman" w:eastAsiaTheme="minorEastAsia"/>
          <w:vertAlign w:val="subscript"/>
        </w:rPr>
        <w:t>3</w:t>
      </w:r>
      <w:r>
        <w:rPr>
          <w:rFonts w:hint="eastAsia" w:asciiTheme="minorEastAsia" w:hAnsiTheme="minorEastAsia" w:eastAsiaTheme="minorEastAsia"/>
        </w:rPr>
        <w:t>恒流放电，放电</w:t>
      </w:r>
      <w:r>
        <w:rPr>
          <w:rFonts w:asciiTheme="minorEastAsia" w:hAnsiTheme="minorEastAsia" w:eastAsiaTheme="minorEastAsia"/>
        </w:rPr>
        <w:t>时间为</w:t>
      </w:r>
      <w:r>
        <w:rPr>
          <w:rFonts w:ascii="Times New Roman" w:eastAsiaTheme="minorEastAsia"/>
          <w:i/>
          <w:color w:val="000000" w:themeColor="text1"/>
          <w14:textFill>
            <w14:solidFill>
              <w14:schemeClr w14:val="tx1"/>
            </w14:solidFill>
          </w14:textFill>
        </w:rPr>
        <w:t>T</w:t>
      </w:r>
      <w:r>
        <w:rPr>
          <w:rFonts w:ascii="Times New Roman" w:eastAsiaTheme="minorEastAsia"/>
          <w:color w:val="000000" w:themeColor="text1"/>
          <w14:textFill>
            <w14:solidFill>
              <w14:schemeClr w14:val="tx1"/>
            </w14:solidFill>
          </w14:textFill>
        </w:rPr>
        <w:t>，</w:t>
      </w:r>
      <w:r>
        <w:rPr>
          <w:rFonts w:ascii="Times New Roman" w:eastAsiaTheme="minorEastAsia"/>
          <w:i/>
          <w:color w:val="000000" w:themeColor="text1"/>
          <w14:textFill>
            <w14:solidFill>
              <w14:schemeClr w14:val="tx1"/>
            </w14:solidFill>
          </w14:textFill>
        </w:rPr>
        <w:t>T</w:t>
      </w:r>
      <w:r>
        <w:rPr>
          <w:rFonts w:hint="eastAsia" w:ascii="Times New Roman" w:eastAsiaTheme="minorEastAsia"/>
        </w:rPr>
        <w:t>按照公式</w:t>
      </w:r>
      <w:r>
        <w:rPr>
          <w:rFonts w:ascii="Times New Roman" w:eastAsiaTheme="minorEastAsia"/>
        </w:rPr>
        <w:t>（</w:t>
      </w:r>
      <w:r>
        <w:rPr>
          <w:rFonts w:hint="eastAsia" w:ascii="Times New Roman" w:eastAsiaTheme="minorEastAsia"/>
        </w:rPr>
        <w:t>1</w:t>
      </w:r>
      <w:r>
        <w:rPr>
          <w:rFonts w:ascii="Times New Roman" w:eastAsiaTheme="minorEastAsia"/>
        </w:rPr>
        <w:t>）</w:t>
      </w:r>
      <w:r>
        <w:rPr>
          <w:rFonts w:hint="eastAsia" w:ascii="Times New Roman" w:eastAsiaTheme="minorEastAsia"/>
        </w:rPr>
        <w:t>计算得到</w:t>
      </w:r>
      <w:r>
        <w:rPr>
          <w:rFonts w:hint="eastAsia" w:asciiTheme="minorEastAsia" w:hAnsiTheme="minorEastAsia" w:eastAsiaTheme="minorEastAsia"/>
        </w:rPr>
        <w:t>，或者</w:t>
      </w:r>
      <w:r>
        <w:rPr>
          <w:rFonts w:asciiTheme="minorEastAsia" w:hAnsiTheme="minorEastAsia" w:eastAsiaTheme="minorEastAsia"/>
        </w:rPr>
        <w:t>采用制造商</w:t>
      </w:r>
      <w:r>
        <w:rPr>
          <w:rFonts w:hint="eastAsia" w:asciiTheme="minorEastAsia" w:hAnsiTheme="minorEastAsia" w:eastAsiaTheme="minorEastAsia"/>
        </w:rPr>
        <w:t>提供</w:t>
      </w:r>
      <w:r>
        <w:rPr>
          <w:rFonts w:asciiTheme="minorEastAsia" w:hAnsiTheme="minorEastAsia" w:eastAsiaTheme="minorEastAsia"/>
        </w:rPr>
        <w:t>的方</w:t>
      </w:r>
      <w:r>
        <w:rPr>
          <w:rFonts w:hint="eastAsia" w:asciiTheme="minorEastAsia" w:hAnsiTheme="minorEastAsia" w:eastAsiaTheme="minorEastAsia"/>
        </w:rPr>
        <w:t>法调整</w:t>
      </w:r>
      <w:r>
        <w:rPr>
          <w:rFonts w:ascii="Times New Roman" w:eastAsiaTheme="minorEastAsia"/>
        </w:rPr>
        <w:t>SOC</w:t>
      </w:r>
      <w:r>
        <w:rPr>
          <w:rFonts w:hint="eastAsia" w:asciiTheme="minorEastAsia" w:hAnsiTheme="minorEastAsia" w:eastAsiaTheme="minorEastAsia"/>
        </w:rPr>
        <w:t>。每次</w:t>
      </w:r>
      <w:r>
        <w:rPr>
          <w:rFonts w:ascii="Times New Roman" w:eastAsiaTheme="minorEastAsia"/>
        </w:rPr>
        <w:t>SOC</w:t>
      </w:r>
      <w:r>
        <w:rPr>
          <w:rFonts w:hint="eastAsia" w:asciiTheme="minorEastAsia" w:hAnsiTheme="minorEastAsia" w:eastAsiaTheme="minorEastAsia"/>
        </w:rPr>
        <w:t>调整后，在新的测试开始前试验对象应静置</w:t>
      </w:r>
      <w:r>
        <w:rPr>
          <w:rFonts w:ascii="Times New Roman" w:eastAsiaTheme="minorEastAsia"/>
        </w:rPr>
        <w:t>30 min</w:t>
      </w:r>
      <w:r>
        <w:rPr>
          <w:rFonts w:hint="eastAsia" w:ascii="Times New Roman" w:eastAsiaTheme="minorEastAsia"/>
        </w:rPr>
        <w:t>或按照制造商规定的条件静置</w:t>
      </w:r>
      <w:r>
        <w:rPr>
          <w:rFonts w:hint="eastAsia" w:asciiTheme="minorEastAsia" w:hAnsiTheme="minorEastAsia" w:eastAsiaTheme="minorEastAsia"/>
        </w:rPr>
        <w:t>。</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128"/>
        <w:widowControl w:val="0"/>
        <w:jc w:val="right"/>
      </w:pPr>
      <w:r>
        <w:rPr>
          <w:position w:val="-24"/>
        </w:rPr>
        <w:object>
          <v:shape id="_x0000_i1025" o:spt="75" type="#_x0000_t75" style="height:30.05pt;width:72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t>··················································</w:t>
      </w:r>
      <w:r>
        <w:rPr>
          <w:rFonts w:hint="eastAsia" w:ascii="Times New Roman"/>
        </w:rPr>
        <w:t>（</w:t>
      </w:r>
      <w:r>
        <w:rPr>
          <w:rFonts w:ascii="Times New Roman"/>
        </w:rPr>
        <w:t>1</w:t>
      </w:r>
      <w:r>
        <w:rPr>
          <w:rFonts w:hint="eastAsia" w:ascii="Times New Roman"/>
        </w:rPr>
        <w:t>）</w:t>
      </w:r>
    </w:p>
    <w:p>
      <w:pPr>
        <w:pStyle w:val="23"/>
        <w:ind w:firstLine="450" w:firstLineChars="0"/>
        <w:jc w:val="left"/>
      </w:pPr>
      <w:r>
        <w:rPr>
          <w:rFonts w:hint="eastAsia"/>
        </w:rPr>
        <w:t>式中：</w:t>
      </w:r>
    </w:p>
    <w:p>
      <w:pPr>
        <w:pStyle w:val="23"/>
        <w:ind w:firstLine="450" w:firstLineChars="0"/>
        <w:jc w:val="left"/>
        <w:rPr>
          <w:rFonts w:asciiTheme="minorEastAsia" w:hAnsiTheme="minorEastAsia" w:eastAsiaTheme="minorEastAsia"/>
        </w:rPr>
      </w:pPr>
      <w:r>
        <w:rPr>
          <w:rFonts w:ascii="Times New Roman"/>
          <w:i/>
        </w:rPr>
        <w:t>T</w:t>
      </w:r>
      <w:r>
        <w:rPr>
          <w:rFonts w:ascii="Times New Roman"/>
        </w:rPr>
        <w:t xml:space="preserve"> ——</w:t>
      </w:r>
      <w:r>
        <w:rPr>
          <w:rFonts w:hint="eastAsia" w:asciiTheme="minorEastAsia" w:hAnsiTheme="minorEastAsia" w:eastAsiaTheme="minorEastAsia"/>
        </w:rPr>
        <w:t>放电</w:t>
      </w:r>
      <w:r>
        <w:rPr>
          <w:rFonts w:asciiTheme="minorEastAsia" w:hAnsiTheme="minorEastAsia" w:eastAsiaTheme="minorEastAsia"/>
        </w:rPr>
        <w:t>时间</w:t>
      </w:r>
      <w:r>
        <w:rPr>
          <w:rFonts w:hint="eastAsia" w:asciiTheme="minorEastAsia" w:hAnsiTheme="minorEastAsia" w:eastAsiaTheme="minorEastAsia"/>
        </w:rPr>
        <w:t>，单位为小时（h）；</w:t>
      </w:r>
    </w:p>
    <w:p>
      <w:pPr>
        <w:pStyle w:val="23"/>
        <w:ind w:firstLine="450" w:firstLineChars="0"/>
        <w:jc w:val="left"/>
      </w:pPr>
      <w:r>
        <w:rPr>
          <w:rFonts w:ascii="Times New Roman"/>
          <w:i/>
        </w:rPr>
        <w:t>n</w:t>
      </w:r>
      <w:r>
        <w:rPr>
          <w:rFonts w:ascii="Times New Roman"/>
        </w:rPr>
        <w:t xml:space="preserve"> ——</w:t>
      </w:r>
      <w:r>
        <w:rPr>
          <w:rFonts w:hint="eastAsia"/>
        </w:rPr>
        <w:t>试验目标值的百分数值。</w:t>
      </w:r>
    </w:p>
    <w:p>
      <w:pPr>
        <w:pStyle w:val="46"/>
        <w:spacing w:before="156" w:after="156"/>
        <w:ind w:left="2"/>
        <w:outlineLvl w:val="2"/>
        <w:rPr>
          <w:rFonts w:asciiTheme="minorEastAsia" w:hAnsiTheme="minorEastAsia" w:eastAsiaTheme="minorEastAsia"/>
        </w:rPr>
      </w:pPr>
      <w:bookmarkStart w:id="882" w:name="_Toc511831690"/>
      <w:bookmarkStart w:id="883" w:name="_Toc478329011"/>
      <w:bookmarkStart w:id="884" w:name="_Toc476948680"/>
      <w:bookmarkStart w:id="885" w:name="_Toc478411946"/>
      <w:bookmarkStart w:id="886" w:name="_Toc510644217"/>
      <w:bookmarkStart w:id="887" w:name="_Toc504059415"/>
      <w:bookmarkStart w:id="888" w:name="_Toc477380596"/>
      <w:bookmarkStart w:id="889" w:name="_Toc511045353"/>
      <w:bookmarkStart w:id="890" w:name="_Toc512347095"/>
      <w:bookmarkStart w:id="891" w:name="_Toc512454243"/>
      <w:bookmarkStart w:id="892" w:name="_Toc477502359"/>
      <w:bookmarkStart w:id="893" w:name="_Toc491440257"/>
      <w:bookmarkStart w:id="894" w:name="_Toc501358488"/>
      <w:bookmarkStart w:id="895" w:name="_Toc477465982"/>
      <w:bookmarkStart w:id="896" w:name="_Toc513234331"/>
      <w:bookmarkStart w:id="897" w:name="_Toc497749553"/>
      <w:bookmarkStart w:id="898" w:name="_Toc513232467"/>
      <w:bookmarkStart w:id="899" w:name="_Toc495431198"/>
      <w:r>
        <w:rPr>
          <w:rFonts w:hint="eastAsia" w:asciiTheme="minorEastAsia" w:hAnsiTheme="minorEastAsia" w:eastAsiaTheme="minorEastAsia"/>
        </w:rPr>
        <w:t>测试过程中的充放电倍率大小、充放电方法和充放电截止条件由制造商提供。</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46"/>
        <w:spacing w:before="156" w:after="156"/>
        <w:ind w:left="2"/>
        <w:jc w:val="both"/>
        <w:outlineLvl w:val="2"/>
        <w:rPr>
          <w:rFonts w:asciiTheme="minorEastAsia" w:hAnsiTheme="minorEastAsia" w:eastAsiaTheme="minorEastAsia"/>
        </w:rPr>
      </w:pPr>
      <w:bookmarkStart w:id="900" w:name="_Toc501358489"/>
      <w:bookmarkStart w:id="901" w:name="_Toc512347096"/>
      <w:bookmarkStart w:id="902" w:name="_Toc513232468"/>
      <w:bookmarkStart w:id="903" w:name="_Toc510644218"/>
      <w:bookmarkStart w:id="904" w:name="_Toc511045354"/>
      <w:bookmarkStart w:id="905" w:name="_Toc512454244"/>
      <w:bookmarkStart w:id="906" w:name="_Toc511831691"/>
      <w:bookmarkStart w:id="907" w:name="_Toc513234332"/>
      <w:bookmarkStart w:id="908" w:name="_Toc504059416"/>
      <w:r>
        <w:rPr>
          <w:rFonts w:hint="eastAsia" w:asciiTheme="minorEastAsia" w:hAnsiTheme="minorEastAsia" w:eastAsiaTheme="minorEastAsia"/>
        </w:rPr>
        <w:t>电池单体</w:t>
      </w:r>
      <w:r>
        <w:rPr>
          <w:rFonts w:asciiTheme="minorEastAsia" w:hAnsiTheme="minorEastAsia" w:eastAsiaTheme="minorEastAsia"/>
        </w:rPr>
        <w:t>、</w:t>
      </w:r>
      <w:r>
        <w:rPr>
          <w:rFonts w:hint="eastAsia" w:asciiTheme="minorEastAsia" w:hAnsiTheme="minorEastAsia" w:eastAsiaTheme="minorEastAsia"/>
        </w:rPr>
        <w:t>电池包</w:t>
      </w:r>
      <w:r>
        <w:rPr>
          <w:rFonts w:asciiTheme="minorEastAsia" w:hAnsiTheme="minorEastAsia" w:eastAsiaTheme="minorEastAsia"/>
        </w:rPr>
        <w:t>或系统</w:t>
      </w:r>
      <w:r>
        <w:rPr>
          <w:rFonts w:hint="eastAsia" w:asciiTheme="minorEastAsia" w:hAnsiTheme="minorEastAsia" w:eastAsiaTheme="minorEastAsia"/>
        </w:rPr>
        <w:t>的实际</w:t>
      </w:r>
      <w:r>
        <w:rPr>
          <w:rFonts w:asciiTheme="minorEastAsia" w:hAnsiTheme="minorEastAsia" w:eastAsiaTheme="minorEastAsia"/>
        </w:rPr>
        <w:t>容量应符合</w:t>
      </w:r>
      <w:r>
        <w:rPr>
          <w:rFonts w:hint="eastAsia" w:asciiTheme="minorEastAsia" w:hAnsiTheme="minorEastAsia" w:eastAsiaTheme="minorEastAsia"/>
        </w:rPr>
        <w:t>制造商</w:t>
      </w:r>
      <w:r>
        <w:rPr>
          <w:rFonts w:asciiTheme="minorEastAsia" w:hAnsiTheme="minorEastAsia" w:eastAsiaTheme="minorEastAsia"/>
        </w:rPr>
        <w:t>提供的产品技术条件</w:t>
      </w:r>
      <w:r>
        <w:rPr>
          <w:rFonts w:hint="eastAsia" w:asciiTheme="minorEastAsia" w:hAnsiTheme="minorEastAsia" w:eastAsiaTheme="minorEastAsia"/>
        </w:rPr>
        <w:t>。</w:t>
      </w:r>
      <w:bookmarkEnd w:id="900"/>
      <w:bookmarkEnd w:id="901"/>
      <w:bookmarkEnd w:id="902"/>
      <w:bookmarkEnd w:id="903"/>
      <w:bookmarkEnd w:id="904"/>
      <w:bookmarkEnd w:id="905"/>
      <w:bookmarkEnd w:id="906"/>
      <w:bookmarkEnd w:id="907"/>
      <w:bookmarkEnd w:id="908"/>
    </w:p>
    <w:p>
      <w:pPr>
        <w:pStyle w:val="46"/>
        <w:spacing w:before="156" w:after="156"/>
        <w:ind w:left="2"/>
        <w:jc w:val="both"/>
        <w:outlineLvl w:val="2"/>
        <w:rPr>
          <w:rFonts w:asciiTheme="minorEastAsia" w:hAnsiTheme="minorEastAsia" w:eastAsiaTheme="minorEastAsia"/>
        </w:rPr>
      </w:pPr>
      <w:bookmarkStart w:id="909" w:name="_Toc497749554"/>
      <w:bookmarkStart w:id="910" w:name="_Toc477502360"/>
      <w:bookmarkStart w:id="911" w:name="_Toc512454245"/>
      <w:bookmarkStart w:id="912" w:name="_Toc512347097"/>
      <w:bookmarkStart w:id="913" w:name="_Toc511045355"/>
      <w:bookmarkStart w:id="914" w:name="_Toc478329012"/>
      <w:bookmarkStart w:id="915" w:name="_Toc478411947"/>
      <w:bookmarkStart w:id="916" w:name="_Toc510644219"/>
      <w:bookmarkStart w:id="917" w:name="_Toc495431199"/>
      <w:bookmarkStart w:id="918" w:name="_Toc513232469"/>
      <w:bookmarkStart w:id="919" w:name="_Toc511831692"/>
      <w:bookmarkStart w:id="920" w:name="_Toc476948681"/>
      <w:bookmarkStart w:id="921" w:name="_Toc501358490"/>
      <w:bookmarkStart w:id="922" w:name="_Toc491440258"/>
      <w:bookmarkStart w:id="923" w:name="_Toc513234333"/>
      <w:bookmarkStart w:id="924" w:name="_Toc477465983"/>
      <w:bookmarkStart w:id="925" w:name="_Toc504059417"/>
      <w:bookmarkStart w:id="926" w:name="_Toc477380597"/>
      <w:r>
        <w:rPr>
          <w:rFonts w:hint="eastAsia" w:asciiTheme="minorEastAsia" w:hAnsiTheme="minorEastAsia" w:eastAsiaTheme="minorEastAsia"/>
        </w:rPr>
        <w:t>除有特殊规定，试验对象均以制造商规定的最高工作荷电状态进行测试。</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46"/>
        <w:spacing w:before="156" w:after="156"/>
        <w:ind w:left="2"/>
        <w:jc w:val="both"/>
        <w:outlineLvl w:val="2"/>
        <w:rPr>
          <w:rFonts w:asciiTheme="minorEastAsia" w:hAnsiTheme="minorEastAsia" w:eastAsiaTheme="minorEastAsia"/>
        </w:rPr>
      </w:pPr>
      <w:bookmarkStart w:id="927" w:name="_Toc511831693"/>
      <w:bookmarkStart w:id="928" w:name="_Toc497749556"/>
      <w:bookmarkStart w:id="929" w:name="_Toc512347098"/>
      <w:bookmarkStart w:id="930" w:name="_Toc477380599"/>
      <w:bookmarkStart w:id="931" w:name="_Toc501358492"/>
      <w:bookmarkStart w:id="932" w:name="_Toc477502362"/>
      <w:bookmarkStart w:id="933" w:name="_Toc491440260"/>
      <w:bookmarkStart w:id="934" w:name="_Toc495431201"/>
      <w:bookmarkStart w:id="935" w:name="_Toc477465985"/>
      <w:bookmarkStart w:id="936" w:name="_Toc513234334"/>
      <w:bookmarkStart w:id="937" w:name="_Toc511045356"/>
      <w:bookmarkStart w:id="938" w:name="_Toc504059419"/>
      <w:bookmarkStart w:id="939" w:name="_Toc478329014"/>
      <w:bookmarkStart w:id="940" w:name="_Toc512454246"/>
      <w:bookmarkStart w:id="941" w:name="_Toc513232470"/>
      <w:bookmarkStart w:id="942" w:name="_Toc476948683"/>
      <w:bookmarkStart w:id="943" w:name="_Toc510644220"/>
      <w:bookmarkStart w:id="944" w:name="_Toc478411949"/>
      <w:r>
        <w:rPr>
          <w:rFonts w:hint="eastAsia" w:asciiTheme="minorEastAsia" w:hAnsiTheme="minorEastAsia" w:eastAsiaTheme="minorEastAsia"/>
        </w:rPr>
        <w:t>电池单体、</w:t>
      </w:r>
      <w:r>
        <w:rPr>
          <w:rFonts w:asciiTheme="minorEastAsia" w:hAnsiTheme="minorEastAsia" w:eastAsiaTheme="minorEastAsia"/>
        </w:rPr>
        <w:t>电池包或系统</w:t>
      </w:r>
      <w:r>
        <w:rPr>
          <w:rFonts w:hint="eastAsia" w:asciiTheme="minorEastAsia" w:hAnsiTheme="minorEastAsia" w:eastAsiaTheme="minorEastAsia"/>
        </w:rPr>
        <w:t>放电电流符号为正，充电电流符号为负。</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46"/>
        <w:spacing w:before="156" w:after="156"/>
        <w:ind w:left="2"/>
        <w:jc w:val="both"/>
        <w:outlineLvl w:val="2"/>
        <w:rPr>
          <w:rFonts w:asciiTheme="minorEastAsia" w:hAnsiTheme="minorEastAsia" w:eastAsiaTheme="minorEastAsia"/>
        </w:rPr>
      </w:pPr>
      <w:bookmarkStart w:id="945" w:name="_Toc512347099"/>
      <w:bookmarkStart w:id="946" w:name="_Toc513234335"/>
      <w:bookmarkStart w:id="947" w:name="_Toc513232471"/>
      <w:bookmarkStart w:id="948" w:name="_Toc511831694"/>
      <w:bookmarkStart w:id="949" w:name="_Toc510644221"/>
      <w:bookmarkStart w:id="950" w:name="_Toc512454247"/>
      <w:bookmarkStart w:id="951" w:name="_Toc511045357"/>
      <w:r>
        <w:rPr>
          <w:rFonts w:hint="eastAsia" w:asciiTheme="minorEastAsia" w:hAnsiTheme="minorEastAsia" w:eastAsiaTheme="minorEastAsia"/>
        </w:rPr>
        <w:t>当电池冷却系统使用了冷却液时，如果试验不要求电池冷却，也可在排掉冷却液后进行试验。</w:t>
      </w:r>
      <w:bookmarkEnd w:id="945"/>
      <w:bookmarkEnd w:id="946"/>
      <w:bookmarkEnd w:id="947"/>
      <w:bookmarkEnd w:id="948"/>
      <w:bookmarkEnd w:id="949"/>
      <w:bookmarkEnd w:id="950"/>
      <w:bookmarkEnd w:id="951"/>
    </w:p>
    <w:p>
      <w:pPr>
        <w:pStyle w:val="42"/>
        <w:spacing w:before="156" w:after="156"/>
        <w:ind w:left="0"/>
        <w:rPr>
          <w:rFonts w:hAnsi="黑体"/>
        </w:rPr>
      </w:pPr>
      <w:bookmarkStart w:id="952" w:name="_Toc513234336"/>
      <w:r>
        <w:rPr>
          <w:rFonts w:hint="eastAsia" w:hAnsi="黑体"/>
        </w:rPr>
        <w:t>测量仪器、仪表准确度</w:t>
      </w:r>
      <w:bookmarkEnd w:id="788"/>
      <w:bookmarkEnd w:id="789"/>
      <w:bookmarkEnd w:id="952"/>
    </w:p>
    <w:p>
      <w:pPr>
        <w:pStyle w:val="23"/>
        <w:rPr>
          <w:rFonts w:ascii="Times New Roman"/>
        </w:rPr>
      </w:pPr>
      <w:bookmarkStart w:id="953" w:name="_Toc450682888"/>
      <w:bookmarkStart w:id="954" w:name="_Toc450729775"/>
      <w:r>
        <w:rPr>
          <w:rFonts w:ascii="Times New Roman"/>
        </w:rPr>
        <w:t>测量仪器、仪表准确度应</w:t>
      </w:r>
      <w:r>
        <w:rPr>
          <w:rFonts w:hint="eastAsia" w:hAnsi="宋体"/>
          <w:szCs w:val="21"/>
        </w:rPr>
        <w:t>不低于以下要求</w:t>
      </w:r>
      <w:r>
        <w:rPr>
          <w:rFonts w:ascii="Times New Roman"/>
        </w:rPr>
        <w:t>：</w:t>
      </w:r>
      <w:bookmarkEnd w:id="953"/>
      <w:bookmarkEnd w:id="954"/>
    </w:p>
    <w:p>
      <w:pPr>
        <w:pStyle w:val="51"/>
        <w:numPr>
          <w:ilvl w:val="0"/>
          <w:numId w:val="12"/>
        </w:numPr>
        <w:spacing w:before="0" w:beforeLines="0" w:after="0" w:afterLines="0"/>
        <w:rPr>
          <w:rFonts w:ascii="Times New Roman" w:eastAsia="宋体"/>
          <w:szCs w:val="20"/>
        </w:rPr>
      </w:pPr>
      <w:bookmarkStart w:id="955" w:name="_Toc450682889"/>
      <w:bookmarkStart w:id="956" w:name="_Toc450729776"/>
      <w:r>
        <w:rPr>
          <w:rFonts w:ascii="Times New Roman" w:eastAsia="宋体"/>
          <w:szCs w:val="20"/>
        </w:rPr>
        <w:t>电压测量装置：±</w:t>
      </w:r>
      <w:r>
        <w:rPr>
          <w:rFonts w:hint="eastAsia" w:ascii="Times New Roman" w:eastAsia="宋体"/>
          <w:szCs w:val="20"/>
        </w:rPr>
        <w:t>0.5% FS</w:t>
      </w:r>
      <w:r>
        <w:rPr>
          <w:rFonts w:ascii="Times New Roman" w:eastAsia="宋体"/>
          <w:szCs w:val="20"/>
        </w:rPr>
        <w:t>；</w:t>
      </w:r>
      <w:bookmarkEnd w:id="955"/>
      <w:bookmarkEnd w:id="956"/>
      <w:bookmarkStart w:id="957" w:name="_Toc450729777"/>
      <w:bookmarkStart w:id="958" w:name="_Toc450682890"/>
    </w:p>
    <w:p>
      <w:pPr>
        <w:pStyle w:val="51"/>
        <w:numPr>
          <w:ilvl w:val="0"/>
          <w:numId w:val="12"/>
        </w:numPr>
        <w:spacing w:before="0" w:beforeLines="0" w:after="0" w:afterLines="0"/>
        <w:rPr>
          <w:rFonts w:ascii="Times New Roman" w:eastAsia="宋体"/>
          <w:szCs w:val="20"/>
        </w:rPr>
      </w:pPr>
      <w:r>
        <w:rPr>
          <w:rFonts w:ascii="Times New Roman" w:eastAsia="宋体"/>
          <w:szCs w:val="20"/>
        </w:rPr>
        <w:t>电流测量装置：±</w:t>
      </w:r>
      <w:r>
        <w:rPr>
          <w:rFonts w:hint="eastAsia" w:ascii="Times New Roman" w:eastAsia="宋体"/>
          <w:szCs w:val="20"/>
        </w:rPr>
        <w:t>0.5%</w:t>
      </w:r>
      <w:r>
        <w:rPr>
          <w:rFonts w:ascii="Times New Roman" w:eastAsia="宋体"/>
          <w:szCs w:val="20"/>
        </w:rPr>
        <w:t xml:space="preserve"> </w:t>
      </w:r>
      <w:r>
        <w:rPr>
          <w:rFonts w:hint="eastAsia" w:ascii="Times New Roman" w:eastAsia="宋体"/>
          <w:szCs w:val="20"/>
        </w:rPr>
        <w:t>FS</w:t>
      </w:r>
      <w:bookmarkEnd w:id="957"/>
      <w:bookmarkEnd w:id="958"/>
      <w:bookmarkStart w:id="959" w:name="_Toc450682891"/>
      <w:bookmarkStart w:id="960" w:name="_Toc450729778"/>
      <w:r>
        <w:rPr>
          <w:rFonts w:ascii="Times New Roman" w:eastAsia="宋体"/>
          <w:szCs w:val="20"/>
        </w:rPr>
        <w:t>；</w:t>
      </w:r>
    </w:p>
    <w:p>
      <w:pPr>
        <w:pStyle w:val="51"/>
        <w:numPr>
          <w:ilvl w:val="0"/>
          <w:numId w:val="12"/>
        </w:numPr>
        <w:spacing w:before="0" w:beforeLines="0" w:after="0" w:afterLines="0"/>
        <w:rPr>
          <w:rFonts w:ascii="Times New Roman" w:eastAsia="宋体"/>
          <w:szCs w:val="20"/>
        </w:rPr>
      </w:pPr>
      <w:r>
        <w:rPr>
          <w:rFonts w:ascii="Times New Roman" w:eastAsia="宋体"/>
          <w:szCs w:val="20"/>
        </w:rPr>
        <w:t>温度测量装置：±</w:t>
      </w:r>
      <w:r>
        <w:rPr>
          <w:rFonts w:hint="eastAsia" w:ascii="Times New Roman" w:eastAsia="宋体"/>
          <w:szCs w:val="20"/>
        </w:rPr>
        <w:t>0.5</w:t>
      </w:r>
      <w:r>
        <w:rPr>
          <w:rFonts w:ascii="Times New Roman" w:eastAsia="宋体"/>
          <w:szCs w:val="20"/>
        </w:rPr>
        <w:t xml:space="preserve"> ℃；</w:t>
      </w:r>
      <w:bookmarkEnd w:id="959"/>
      <w:bookmarkEnd w:id="960"/>
      <w:bookmarkStart w:id="961" w:name="_Toc450729779"/>
      <w:bookmarkStart w:id="962" w:name="_Toc450682892"/>
    </w:p>
    <w:p>
      <w:pPr>
        <w:pStyle w:val="51"/>
        <w:numPr>
          <w:ilvl w:val="0"/>
          <w:numId w:val="12"/>
        </w:numPr>
        <w:spacing w:before="0" w:beforeLines="0" w:after="0" w:afterLines="0"/>
        <w:rPr>
          <w:rFonts w:ascii="Times New Roman" w:eastAsia="宋体"/>
          <w:szCs w:val="20"/>
        </w:rPr>
      </w:pPr>
      <w:r>
        <w:rPr>
          <w:rFonts w:ascii="Times New Roman" w:eastAsia="宋体"/>
          <w:szCs w:val="20"/>
        </w:rPr>
        <w:t>时间测量装置：±0.1%</w:t>
      </w:r>
      <w:r>
        <w:rPr>
          <w:rFonts w:hint="eastAsia" w:ascii="Times New Roman" w:eastAsia="宋体"/>
          <w:szCs w:val="20"/>
        </w:rPr>
        <w:t xml:space="preserve"> FS</w:t>
      </w:r>
      <w:r>
        <w:rPr>
          <w:rFonts w:ascii="Times New Roman" w:eastAsia="宋体"/>
          <w:szCs w:val="20"/>
        </w:rPr>
        <w:t>；</w:t>
      </w:r>
      <w:bookmarkEnd w:id="961"/>
      <w:bookmarkEnd w:id="962"/>
      <w:bookmarkStart w:id="963" w:name="_Toc450682893"/>
      <w:bookmarkStart w:id="964" w:name="_Toc450729780"/>
    </w:p>
    <w:p>
      <w:pPr>
        <w:pStyle w:val="51"/>
        <w:numPr>
          <w:ilvl w:val="0"/>
          <w:numId w:val="12"/>
        </w:numPr>
        <w:spacing w:before="0" w:beforeLines="0" w:after="0" w:afterLines="0"/>
        <w:rPr>
          <w:rFonts w:ascii="Times New Roman" w:eastAsia="宋体"/>
          <w:szCs w:val="20"/>
        </w:rPr>
      </w:pPr>
      <w:r>
        <w:rPr>
          <w:rFonts w:ascii="Times New Roman" w:eastAsia="宋体"/>
          <w:szCs w:val="20"/>
        </w:rPr>
        <w:t>尺寸测量装置：±</w:t>
      </w:r>
      <w:r>
        <w:rPr>
          <w:rFonts w:hint="eastAsia" w:ascii="Times New Roman" w:eastAsia="宋体"/>
          <w:szCs w:val="20"/>
        </w:rPr>
        <w:t>0.</w:t>
      </w:r>
      <w:r>
        <w:rPr>
          <w:rFonts w:ascii="Times New Roman" w:eastAsia="宋体"/>
          <w:szCs w:val="20"/>
        </w:rPr>
        <w:t>1%</w:t>
      </w:r>
      <w:r>
        <w:rPr>
          <w:rFonts w:hint="eastAsia" w:ascii="Times New Roman" w:eastAsia="宋体"/>
          <w:szCs w:val="20"/>
        </w:rPr>
        <w:t xml:space="preserve"> FS</w:t>
      </w:r>
      <w:r>
        <w:rPr>
          <w:rFonts w:ascii="Times New Roman" w:eastAsia="宋体"/>
          <w:szCs w:val="20"/>
        </w:rPr>
        <w:t>；</w:t>
      </w:r>
      <w:bookmarkEnd w:id="963"/>
      <w:bookmarkEnd w:id="964"/>
      <w:bookmarkStart w:id="965" w:name="_Toc450682894"/>
      <w:bookmarkStart w:id="966" w:name="_Toc450729781"/>
    </w:p>
    <w:p>
      <w:pPr>
        <w:pStyle w:val="51"/>
        <w:numPr>
          <w:ilvl w:val="0"/>
          <w:numId w:val="12"/>
        </w:numPr>
        <w:spacing w:before="0" w:beforeLines="0" w:after="0" w:afterLines="0"/>
        <w:rPr>
          <w:rFonts w:ascii="Times New Roman" w:eastAsia="宋体"/>
          <w:szCs w:val="20"/>
        </w:rPr>
      </w:pPr>
      <w:r>
        <w:rPr>
          <w:rFonts w:ascii="Times New Roman" w:eastAsia="宋体"/>
          <w:szCs w:val="20"/>
        </w:rPr>
        <w:t>质量测量装置：±0.1%</w:t>
      </w:r>
      <w:r>
        <w:rPr>
          <w:rFonts w:hint="eastAsia" w:ascii="Times New Roman" w:eastAsia="宋体"/>
          <w:szCs w:val="20"/>
        </w:rPr>
        <w:t xml:space="preserve"> FS</w:t>
      </w:r>
      <w:r>
        <w:rPr>
          <w:rFonts w:ascii="Times New Roman" w:eastAsia="宋体"/>
          <w:szCs w:val="20"/>
        </w:rPr>
        <w:t>。</w:t>
      </w:r>
      <w:bookmarkEnd w:id="965"/>
      <w:bookmarkEnd w:id="966"/>
    </w:p>
    <w:p>
      <w:pPr>
        <w:pStyle w:val="42"/>
        <w:spacing w:before="156" w:after="156"/>
        <w:ind w:left="0"/>
        <w:rPr>
          <w:rFonts w:hAnsi="黑体"/>
        </w:rPr>
      </w:pPr>
      <w:bookmarkStart w:id="967" w:name="_Toc513234337"/>
      <w:bookmarkStart w:id="968" w:name="_Toc450682895"/>
      <w:bookmarkStart w:id="969" w:name="_Toc450729782"/>
      <w:r>
        <w:rPr>
          <w:rFonts w:hint="eastAsia" w:hAnsi="黑体"/>
        </w:rPr>
        <w:t>测试过程误差</w:t>
      </w:r>
      <w:bookmarkEnd w:id="967"/>
    </w:p>
    <w:p>
      <w:pPr>
        <w:pStyle w:val="23"/>
        <w:rPr>
          <w:rFonts w:ascii="Times New Roman"/>
        </w:rPr>
      </w:pPr>
      <w:r>
        <w:rPr>
          <w:rFonts w:ascii="Times New Roman"/>
        </w:rPr>
        <w:t>控制值（实际值）与目标值之间的误差要求如下：</w:t>
      </w:r>
      <w:bookmarkEnd w:id="968"/>
      <w:bookmarkEnd w:id="969"/>
    </w:p>
    <w:p>
      <w:pPr>
        <w:pStyle w:val="51"/>
        <w:numPr>
          <w:ilvl w:val="0"/>
          <w:numId w:val="13"/>
        </w:numPr>
        <w:spacing w:before="0" w:beforeLines="0" w:after="0" w:afterLines="0"/>
        <w:rPr>
          <w:rFonts w:ascii="Times New Roman" w:eastAsia="宋体"/>
          <w:szCs w:val="20"/>
        </w:rPr>
      </w:pPr>
      <w:bookmarkStart w:id="970" w:name="_Toc450729783"/>
      <w:bookmarkStart w:id="971" w:name="_Toc450682896"/>
      <w:r>
        <w:rPr>
          <w:rFonts w:ascii="Times New Roman" w:eastAsia="宋体"/>
          <w:szCs w:val="20"/>
        </w:rPr>
        <w:t>电压：±1%；</w:t>
      </w:r>
      <w:bookmarkEnd w:id="970"/>
      <w:bookmarkEnd w:id="971"/>
      <w:bookmarkStart w:id="972" w:name="_Toc450682897"/>
      <w:bookmarkStart w:id="973" w:name="_Toc450729784"/>
    </w:p>
    <w:p>
      <w:pPr>
        <w:pStyle w:val="51"/>
        <w:numPr>
          <w:ilvl w:val="0"/>
          <w:numId w:val="13"/>
        </w:numPr>
        <w:spacing w:before="0" w:beforeLines="0" w:after="0" w:afterLines="0"/>
        <w:rPr>
          <w:rFonts w:ascii="Times New Roman" w:eastAsia="宋体"/>
          <w:szCs w:val="20"/>
        </w:rPr>
      </w:pPr>
      <w:r>
        <w:rPr>
          <w:rFonts w:ascii="Times New Roman" w:eastAsia="宋体"/>
          <w:szCs w:val="20"/>
        </w:rPr>
        <w:t>电流：±1%；</w:t>
      </w:r>
      <w:bookmarkEnd w:id="972"/>
      <w:bookmarkEnd w:id="973"/>
      <w:bookmarkStart w:id="974" w:name="_Toc450729785"/>
      <w:bookmarkStart w:id="975" w:name="_Toc450682898"/>
    </w:p>
    <w:p>
      <w:pPr>
        <w:pStyle w:val="51"/>
        <w:numPr>
          <w:ilvl w:val="0"/>
          <w:numId w:val="13"/>
        </w:numPr>
        <w:spacing w:before="0" w:beforeLines="0" w:after="0" w:afterLines="0"/>
      </w:pPr>
      <w:r>
        <w:rPr>
          <w:rFonts w:ascii="Times New Roman" w:eastAsia="宋体"/>
          <w:szCs w:val="20"/>
        </w:rPr>
        <w:t>温度：±2 ℃</w:t>
      </w:r>
      <w:bookmarkEnd w:id="974"/>
      <w:bookmarkEnd w:id="975"/>
      <w:r>
        <w:rPr>
          <w:rFonts w:hint="eastAsia" w:ascii="Times New Roman" w:eastAsia="宋体"/>
          <w:szCs w:val="20"/>
        </w:rPr>
        <w:t>；</w:t>
      </w:r>
    </w:p>
    <w:p>
      <w:pPr>
        <w:pStyle w:val="51"/>
        <w:numPr>
          <w:ilvl w:val="0"/>
          <w:numId w:val="13"/>
        </w:numPr>
        <w:spacing w:before="0" w:beforeLines="0" w:after="0" w:afterLines="0"/>
        <w:rPr>
          <w:rFonts w:ascii="Times New Roman" w:eastAsiaTheme="minorEastAsia"/>
        </w:rPr>
      </w:pPr>
      <w:r>
        <w:rPr>
          <w:rFonts w:hint="eastAsia" w:ascii="Times New Roman" w:eastAsiaTheme="minorEastAsia"/>
        </w:rPr>
        <w:t>时间：±</w:t>
      </w:r>
      <w:r>
        <w:rPr>
          <w:rFonts w:ascii="Times New Roman" w:eastAsiaTheme="minorEastAsia"/>
        </w:rPr>
        <w:t>0.1%</w:t>
      </w:r>
      <w:r>
        <w:rPr>
          <w:rFonts w:hint="eastAsia" w:ascii="Times New Roman" w:eastAsiaTheme="minorEastAsia"/>
        </w:rPr>
        <w:t>；</w:t>
      </w:r>
    </w:p>
    <w:p>
      <w:pPr>
        <w:pStyle w:val="51"/>
        <w:numPr>
          <w:ilvl w:val="0"/>
          <w:numId w:val="13"/>
        </w:numPr>
        <w:spacing w:before="0" w:beforeLines="0" w:after="0" w:afterLines="0"/>
        <w:rPr>
          <w:rFonts w:ascii="Times New Roman" w:eastAsiaTheme="minorEastAsia"/>
        </w:rPr>
      </w:pPr>
      <w:r>
        <w:rPr>
          <w:rFonts w:hint="eastAsia" w:ascii="Times New Roman" w:eastAsiaTheme="minorEastAsia"/>
        </w:rPr>
        <w:t>尺寸：±</w:t>
      </w:r>
      <w:r>
        <w:rPr>
          <w:rFonts w:ascii="Times New Roman" w:eastAsiaTheme="minorEastAsia"/>
        </w:rPr>
        <w:t>0.1%</w:t>
      </w:r>
      <w:r>
        <w:rPr>
          <w:rFonts w:hint="eastAsia" w:ascii="Times New Roman" w:eastAsiaTheme="minorEastAsia"/>
        </w:rPr>
        <w:t>；</w:t>
      </w:r>
    </w:p>
    <w:p>
      <w:pPr>
        <w:pStyle w:val="51"/>
        <w:numPr>
          <w:ilvl w:val="0"/>
          <w:numId w:val="13"/>
        </w:numPr>
        <w:spacing w:before="0" w:beforeLines="0" w:after="0" w:afterLines="0"/>
        <w:rPr>
          <w:rFonts w:ascii="Times New Roman" w:eastAsiaTheme="minorEastAsia"/>
        </w:rPr>
      </w:pPr>
      <w:r>
        <w:rPr>
          <w:rFonts w:hint="eastAsia" w:ascii="Times New Roman" w:eastAsiaTheme="minorEastAsia"/>
        </w:rPr>
        <w:t>质量：±</w:t>
      </w:r>
      <w:r>
        <w:rPr>
          <w:rFonts w:ascii="Times New Roman" w:eastAsiaTheme="minorEastAsia"/>
        </w:rPr>
        <w:t>0.1%</w:t>
      </w:r>
      <w:r>
        <w:rPr>
          <w:rFonts w:hint="eastAsia" w:ascii="Times New Roman" w:eastAsiaTheme="minorEastAsia"/>
        </w:rPr>
        <w:t>。</w:t>
      </w:r>
    </w:p>
    <w:p>
      <w:pPr>
        <w:pStyle w:val="42"/>
        <w:spacing w:before="156" w:after="156"/>
        <w:ind w:left="0"/>
        <w:rPr>
          <w:rFonts w:hAnsi="黑体"/>
        </w:rPr>
      </w:pPr>
      <w:bookmarkStart w:id="976" w:name="_Toc513234338"/>
      <w:bookmarkStart w:id="977" w:name="_Toc450729786"/>
      <w:bookmarkStart w:id="978" w:name="_Toc450682899"/>
      <w:r>
        <w:rPr>
          <w:rFonts w:hint="eastAsia" w:hAnsi="黑体"/>
        </w:rPr>
        <w:t>数据记录与记录间隔</w:t>
      </w:r>
      <w:bookmarkEnd w:id="976"/>
      <w:bookmarkEnd w:id="977"/>
      <w:bookmarkEnd w:id="978"/>
    </w:p>
    <w:p>
      <w:pPr>
        <w:pStyle w:val="23"/>
        <w:rPr>
          <w:rFonts w:ascii="Times New Roman"/>
        </w:rPr>
      </w:pPr>
      <w:r>
        <w:rPr>
          <w:rFonts w:ascii="Times New Roman"/>
        </w:rPr>
        <w:t>除在某些具体测试项目中另有说明，</w:t>
      </w:r>
      <w:r>
        <w:rPr>
          <w:rFonts w:hint="eastAsia" w:ascii="Times New Roman"/>
        </w:rPr>
        <w:t>否则测试数据（</w:t>
      </w:r>
      <w:r>
        <w:rPr>
          <w:rFonts w:ascii="Times New Roman"/>
        </w:rPr>
        <w:t>如时间、温度、电流和电压等</w:t>
      </w:r>
      <w:r>
        <w:rPr>
          <w:rFonts w:hint="eastAsia" w:ascii="Times New Roman"/>
        </w:rPr>
        <w:t>）的记录间隔应不大于</w:t>
      </w:r>
      <w:r>
        <w:rPr>
          <w:rFonts w:ascii="Times New Roman"/>
        </w:rPr>
        <w:t>1</w:t>
      </w:r>
      <w:r>
        <w:rPr>
          <w:rFonts w:hint="eastAsia" w:ascii="Times New Roman"/>
        </w:rPr>
        <w:t>5</w:t>
      </w:r>
      <w:r>
        <w:rPr>
          <w:rFonts w:ascii="Times New Roman"/>
        </w:rPr>
        <w:t xml:space="preserve"> s</w:t>
      </w:r>
      <w:r>
        <w:rPr>
          <w:rFonts w:hint="eastAsia" w:ascii="Times New Roman"/>
        </w:rPr>
        <w:t>。</w:t>
      </w:r>
    </w:p>
    <w:p>
      <w:pPr>
        <w:pStyle w:val="45"/>
        <w:spacing w:before="312" w:after="312"/>
        <w:rPr>
          <w:rFonts w:ascii="Times New Roman"/>
        </w:rPr>
      </w:pPr>
      <w:bookmarkStart w:id="979" w:name="_Toc513234339"/>
      <w:bookmarkStart w:id="980" w:name="_Toc450682944"/>
      <w:r>
        <w:rPr>
          <w:rFonts w:ascii="Times New Roman"/>
        </w:rPr>
        <w:t>试验准备</w:t>
      </w:r>
      <w:bookmarkEnd w:id="979"/>
      <w:bookmarkEnd w:id="980"/>
    </w:p>
    <w:p>
      <w:pPr>
        <w:pStyle w:val="42"/>
        <w:spacing w:before="156" w:after="156"/>
        <w:ind w:left="0"/>
        <w:rPr>
          <w:rFonts w:hAnsi="黑体"/>
        </w:rPr>
      </w:pPr>
      <w:bookmarkStart w:id="981" w:name="_Toc450682945"/>
      <w:bookmarkStart w:id="982" w:name="_Toc513234340"/>
      <w:r>
        <w:rPr>
          <w:rFonts w:hint="eastAsia" w:hAnsi="黑体"/>
        </w:rPr>
        <w:t>电池</w:t>
      </w:r>
      <w:bookmarkEnd w:id="981"/>
      <w:r>
        <w:rPr>
          <w:rFonts w:hint="eastAsia" w:hAnsi="黑体"/>
        </w:rPr>
        <w:t>单体试验准备</w:t>
      </w:r>
      <w:bookmarkEnd w:id="982"/>
    </w:p>
    <w:p>
      <w:pPr>
        <w:pStyle w:val="46"/>
        <w:spacing w:before="156" w:after="156"/>
        <w:ind w:left="-2" w:leftChars="-1"/>
        <w:outlineLvl w:val="9"/>
        <w:rPr>
          <w:rFonts w:hAnsi="黑体"/>
          <w:color w:val="000000" w:themeColor="text1"/>
          <w:szCs w:val="20"/>
          <w14:textFill>
            <w14:solidFill>
              <w14:schemeClr w14:val="tx1"/>
            </w14:solidFill>
          </w14:textFill>
        </w:rPr>
      </w:pPr>
      <w:r>
        <w:rPr>
          <w:rFonts w:hint="eastAsia" w:hAnsi="黑体"/>
        </w:rPr>
        <w:t>标准充电</w:t>
      </w:r>
    </w:p>
    <w:p>
      <w:pPr>
        <w:pStyle w:val="51"/>
        <w:numPr>
          <w:ilvl w:val="0"/>
          <w:numId w:val="0"/>
        </w:numPr>
        <w:spacing w:beforeLines="0" w:afterLines="0"/>
        <w:ind w:firstLine="420" w:firstLineChars="200"/>
        <w:jc w:val="both"/>
        <w:rPr>
          <w:rFonts w:ascii="Times New Roman" w:eastAsiaTheme="minorEastAsia"/>
        </w:rPr>
      </w:pPr>
      <w:bookmarkStart w:id="983" w:name="_Toc450682946"/>
      <w:bookmarkStart w:id="984" w:name="_Toc450729833"/>
      <w:r>
        <w:rPr>
          <w:rFonts w:ascii="Times New Roman" w:eastAsiaTheme="minorEastAsia"/>
        </w:rPr>
        <w:t>电池单体先以</w:t>
      </w:r>
      <w:r>
        <w:rPr>
          <w:rFonts w:hint="eastAsia" w:asciiTheme="minorEastAsia" w:hAnsiTheme="minorEastAsia" w:eastAsiaTheme="minorEastAsia"/>
        </w:rPr>
        <w:t>制造商</w:t>
      </w:r>
      <w:r>
        <w:rPr>
          <w:rFonts w:asciiTheme="minorEastAsia" w:hAnsiTheme="minorEastAsia" w:eastAsiaTheme="minorEastAsia"/>
        </w:rPr>
        <w:t>规定且</w:t>
      </w:r>
      <w:r>
        <w:rPr>
          <w:rFonts w:ascii="Times New Roman" w:eastAsiaTheme="minorEastAsia"/>
        </w:rPr>
        <w:t>不小于</w:t>
      </w:r>
      <w:r>
        <w:rPr>
          <w:rFonts w:hint="eastAsia" w:ascii="Times New Roman" w:eastAsiaTheme="minorEastAsia"/>
        </w:rPr>
        <w:t>1</w:t>
      </w:r>
      <w:r>
        <w:rPr>
          <w:rFonts w:ascii="Times New Roman" w:eastAsiaTheme="minorEastAsia"/>
        </w:rPr>
        <w:t xml:space="preserve"> </w:t>
      </w:r>
      <w:r>
        <w:rPr>
          <w:rFonts w:hint="eastAsia" w:ascii="Times New Roman" w:eastAsiaTheme="minorEastAsia"/>
          <w:i/>
        </w:rPr>
        <w:t>I</w:t>
      </w:r>
      <w:r>
        <w:rPr>
          <w:rFonts w:hint="eastAsia" w:ascii="Times New Roman" w:eastAsiaTheme="minorEastAsia"/>
          <w:vertAlign w:val="subscript"/>
        </w:rPr>
        <w:t>3</w:t>
      </w:r>
      <w:r>
        <w:rPr>
          <w:rFonts w:hint="eastAsia" w:ascii="Times New Roman" w:eastAsiaTheme="minorEastAsia"/>
        </w:rPr>
        <w:t>的</w:t>
      </w:r>
      <w:r>
        <w:rPr>
          <w:rFonts w:ascii="Times New Roman" w:eastAsiaTheme="minorEastAsia"/>
        </w:rPr>
        <w:t>电流放电至制造商技术条件中规定的放电终止电压，搁置1 h</w:t>
      </w:r>
      <w:r>
        <w:rPr>
          <w:rFonts w:hint="eastAsia" w:ascii="Times New Roman" w:eastAsiaTheme="minorEastAsia"/>
        </w:rPr>
        <w:t>（</w:t>
      </w:r>
      <w:r>
        <w:rPr>
          <w:rFonts w:ascii="Times New Roman" w:eastAsiaTheme="minorEastAsia"/>
        </w:rPr>
        <w:t>或制造商提供的不大于1 h的搁置时间</w:t>
      </w:r>
      <w:r>
        <w:rPr>
          <w:rFonts w:hint="eastAsia" w:ascii="Times New Roman" w:eastAsiaTheme="minorEastAsia"/>
        </w:rPr>
        <w:t>）</w:t>
      </w:r>
      <w:r>
        <w:rPr>
          <w:rFonts w:ascii="Times New Roman" w:eastAsiaTheme="minorEastAsia"/>
        </w:rPr>
        <w:t>，然后按制造商提供的充电方法进行充电</w:t>
      </w:r>
      <w:r>
        <w:rPr>
          <w:rFonts w:hint="eastAsia" w:ascii="Times New Roman" w:eastAsiaTheme="minorEastAsia"/>
        </w:rPr>
        <w:t>，</w:t>
      </w:r>
      <w:r>
        <w:rPr>
          <w:rFonts w:ascii="Times New Roman" w:eastAsiaTheme="minorEastAsia"/>
        </w:rPr>
        <w:t>充电后搁置1 h（或</w:t>
      </w:r>
      <w:r>
        <w:rPr>
          <w:rFonts w:hint="eastAsia" w:ascii="Times New Roman" w:eastAsiaTheme="minorEastAsia"/>
        </w:rPr>
        <w:t>制造商</w:t>
      </w:r>
      <w:r>
        <w:rPr>
          <w:rFonts w:ascii="Times New Roman" w:eastAsiaTheme="minorEastAsia"/>
        </w:rPr>
        <w:t>提供的不</w:t>
      </w:r>
      <w:r>
        <w:rPr>
          <w:rFonts w:hint="eastAsia" w:ascii="Times New Roman" w:eastAsiaTheme="minorEastAsia"/>
        </w:rPr>
        <w:t>大</w:t>
      </w:r>
      <w:r>
        <w:rPr>
          <w:rFonts w:ascii="Times New Roman" w:eastAsiaTheme="minorEastAsia"/>
        </w:rPr>
        <w:t>于1 h的搁置时间）。</w:t>
      </w:r>
      <w:bookmarkEnd w:id="983"/>
      <w:bookmarkEnd w:id="984"/>
    </w:p>
    <w:p>
      <w:pPr>
        <w:pStyle w:val="51"/>
        <w:numPr>
          <w:ilvl w:val="0"/>
          <w:numId w:val="0"/>
        </w:numPr>
        <w:spacing w:beforeLines="0" w:afterLines="0"/>
        <w:ind w:firstLine="420" w:firstLineChars="200"/>
        <w:jc w:val="both"/>
        <w:rPr>
          <w:rFonts w:asciiTheme="minorEastAsia" w:hAnsiTheme="minorEastAsia" w:eastAsiaTheme="minorEastAsia"/>
        </w:rPr>
      </w:pPr>
      <w:bookmarkStart w:id="985" w:name="_Toc450729834"/>
      <w:bookmarkStart w:id="986" w:name="_Toc450682947"/>
      <w:r>
        <w:rPr>
          <w:rFonts w:asciiTheme="minorEastAsia" w:hAnsiTheme="minorEastAsia" w:eastAsiaTheme="minorEastAsia"/>
        </w:rPr>
        <w:t>若</w:t>
      </w:r>
      <w:r>
        <w:rPr>
          <w:rFonts w:hint="eastAsia" w:asciiTheme="minorEastAsia" w:hAnsiTheme="minorEastAsia" w:eastAsiaTheme="minorEastAsia"/>
        </w:rPr>
        <w:t>制造商</w:t>
      </w:r>
      <w:r>
        <w:rPr>
          <w:rFonts w:asciiTheme="minorEastAsia" w:hAnsiTheme="minorEastAsia" w:eastAsiaTheme="minorEastAsia"/>
        </w:rPr>
        <w:t>未提供充电方法，则</w:t>
      </w:r>
      <w:r>
        <w:rPr>
          <w:rFonts w:hint="eastAsia" w:asciiTheme="minorEastAsia" w:hAnsiTheme="minorEastAsia" w:eastAsiaTheme="minorEastAsia"/>
        </w:rPr>
        <w:t>由检测机构和制造商协商确定合适的充电方法，或</w:t>
      </w:r>
      <w:r>
        <w:rPr>
          <w:rFonts w:asciiTheme="minorEastAsia" w:hAnsiTheme="minorEastAsia" w:eastAsiaTheme="minorEastAsia"/>
        </w:rPr>
        <w:t>依据以下方法充电</w:t>
      </w:r>
      <w:bookmarkEnd w:id="985"/>
      <w:bookmarkEnd w:id="986"/>
      <w:r>
        <w:rPr>
          <w:rFonts w:hint="eastAsia" w:asciiTheme="minorEastAsia" w:hAnsiTheme="minorEastAsia" w:eastAsiaTheme="minorEastAsia"/>
        </w:rPr>
        <w:t>：</w:t>
      </w:r>
    </w:p>
    <w:p>
      <w:pPr>
        <w:pStyle w:val="23"/>
        <w:rPr>
          <w:rFonts w:ascii="Times New Roman"/>
        </w:rPr>
      </w:pPr>
      <w:bookmarkStart w:id="987" w:name="_Toc450729835"/>
      <w:bookmarkStart w:id="988" w:name="_Toc450682948"/>
      <w:r>
        <w:rPr>
          <w:rFonts w:ascii="Times New Roman"/>
        </w:rPr>
        <w:t>以</w:t>
      </w:r>
      <w:r>
        <w:rPr>
          <w:rFonts w:hint="eastAsia" w:ascii="Times New Roman"/>
        </w:rPr>
        <w:t xml:space="preserve">制造商规定且不小于1 </w:t>
      </w:r>
      <w:r>
        <w:rPr>
          <w:rFonts w:ascii="Times New Roman"/>
          <w:i/>
        </w:rPr>
        <w:t>I</w:t>
      </w:r>
      <w:r>
        <w:rPr>
          <w:rFonts w:hint="eastAsia" w:ascii="Times New Roman"/>
          <w:vertAlign w:val="subscript"/>
        </w:rPr>
        <w:t>3</w:t>
      </w:r>
      <w:r>
        <w:rPr>
          <w:rFonts w:hint="eastAsia" w:ascii="Times New Roman"/>
        </w:rPr>
        <w:t>的</w:t>
      </w:r>
      <w:r>
        <w:rPr>
          <w:rFonts w:ascii="Times New Roman"/>
        </w:rPr>
        <w:t>电流恒流充电至</w:t>
      </w:r>
      <w:r>
        <w:rPr>
          <w:rFonts w:hint="eastAsia" w:ascii="Times New Roman"/>
        </w:rPr>
        <w:t>电池单体</w:t>
      </w:r>
      <w:r>
        <w:rPr>
          <w:rFonts w:ascii="Times New Roman"/>
        </w:rPr>
        <w:t>达</w:t>
      </w:r>
      <w:r>
        <w:rPr>
          <w:rFonts w:hint="eastAsia" w:ascii="Times New Roman"/>
        </w:rPr>
        <w:t>制造商</w:t>
      </w:r>
      <w:r>
        <w:rPr>
          <w:rFonts w:ascii="Times New Roman"/>
        </w:rPr>
        <w:t xml:space="preserve">技术条件中规定的充电终止电压时转恒压充电，至充电电流降至0.05 </w:t>
      </w:r>
      <w:r>
        <w:rPr>
          <w:rFonts w:ascii="Times New Roman"/>
          <w:i/>
        </w:rPr>
        <w:t>I</w:t>
      </w:r>
      <w:r>
        <w:rPr>
          <w:rFonts w:ascii="Times New Roman"/>
          <w:vertAlign w:val="subscript"/>
        </w:rPr>
        <w:t>1</w:t>
      </w:r>
      <w:r>
        <w:rPr>
          <w:rFonts w:ascii="Times New Roman"/>
        </w:rPr>
        <w:t>时停止充电</w:t>
      </w:r>
      <w:r>
        <w:rPr>
          <w:rFonts w:hint="eastAsia" w:ascii="Times New Roman"/>
        </w:rPr>
        <w:t>，充电后搁置</w:t>
      </w:r>
      <w:r>
        <w:rPr>
          <w:rFonts w:ascii="Times New Roman"/>
        </w:rPr>
        <w:t>1 h</w:t>
      </w:r>
      <w:r>
        <w:rPr>
          <w:rFonts w:hint="eastAsia" w:ascii="Times New Roman"/>
        </w:rPr>
        <w:t>（或制造商提供的不大于</w:t>
      </w:r>
      <w:r>
        <w:rPr>
          <w:rFonts w:ascii="Times New Roman"/>
        </w:rPr>
        <w:t>1 h</w:t>
      </w:r>
      <w:r>
        <w:rPr>
          <w:rFonts w:hint="eastAsia" w:ascii="Times New Roman"/>
        </w:rPr>
        <w:t>的搁置时间）。</w:t>
      </w:r>
      <w:bookmarkEnd w:id="987"/>
      <w:bookmarkEnd w:id="988"/>
    </w:p>
    <w:p>
      <w:pPr>
        <w:pStyle w:val="46"/>
        <w:spacing w:before="156" w:after="156"/>
        <w:ind w:left="2"/>
        <w:outlineLvl w:val="2"/>
        <w:rPr>
          <w:rFonts w:hAnsi="黑体"/>
        </w:rPr>
      </w:pPr>
      <w:bookmarkStart w:id="989" w:name="_Toc510644227"/>
      <w:bookmarkStart w:id="990" w:name="_Toc512454253"/>
      <w:bookmarkStart w:id="991" w:name="_Toc513234341"/>
      <w:bookmarkStart w:id="992" w:name="_Toc512347105"/>
      <w:bookmarkStart w:id="993" w:name="_Toc511831700"/>
      <w:bookmarkStart w:id="994" w:name="_Toc511045363"/>
      <w:bookmarkStart w:id="995" w:name="_Toc504059425"/>
      <w:bookmarkStart w:id="996" w:name="_Toc513232477"/>
      <w:r>
        <w:rPr>
          <w:rFonts w:hint="eastAsia" w:hAnsi="黑体"/>
        </w:rPr>
        <w:t>预处理</w:t>
      </w:r>
      <w:bookmarkEnd w:id="989"/>
      <w:bookmarkEnd w:id="990"/>
      <w:bookmarkEnd w:id="991"/>
      <w:bookmarkEnd w:id="992"/>
      <w:bookmarkEnd w:id="993"/>
      <w:bookmarkEnd w:id="994"/>
      <w:bookmarkEnd w:id="995"/>
      <w:bookmarkEnd w:id="996"/>
    </w:p>
    <w:p>
      <w:pPr>
        <w:pStyle w:val="51"/>
        <w:spacing w:before="156" w:after="156"/>
        <w:ind w:left="0" w:firstLine="0"/>
        <w:rPr>
          <w:rFonts w:asciiTheme="minorEastAsia" w:hAnsiTheme="minorEastAsia" w:eastAsiaTheme="minorEastAsia"/>
        </w:rPr>
      </w:pPr>
      <w:r>
        <w:rPr>
          <w:rFonts w:hint="eastAsia" w:asciiTheme="minorEastAsia" w:hAnsiTheme="minorEastAsia" w:eastAsiaTheme="minorEastAsia"/>
        </w:rPr>
        <w:t>正式测试开始前，电池单体需要先进行预处理循环，以确保试验对象的性能处于激活和稳定的状态。步骤如下：</w:t>
      </w:r>
    </w:p>
    <w:p>
      <w:pPr>
        <w:pStyle w:val="51"/>
        <w:numPr>
          <w:ilvl w:val="0"/>
          <w:numId w:val="14"/>
        </w:numPr>
        <w:spacing w:before="0" w:beforeLines="0" w:after="0" w:afterLines="0"/>
        <w:rPr>
          <w:rFonts w:ascii="Times New Roman" w:eastAsia="宋体"/>
          <w:szCs w:val="20"/>
        </w:rPr>
      </w:pPr>
      <w:r>
        <w:rPr>
          <w:rFonts w:hint="eastAsia" w:ascii="Times New Roman" w:eastAsia="宋体"/>
          <w:szCs w:val="20"/>
        </w:rPr>
        <w:t>按照7.1.1对</w:t>
      </w:r>
      <w:r>
        <w:rPr>
          <w:rFonts w:ascii="Times New Roman" w:eastAsia="宋体"/>
          <w:szCs w:val="20"/>
        </w:rPr>
        <w:t>电池单体进行标准充电</w:t>
      </w:r>
      <w:r>
        <w:rPr>
          <w:rFonts w:hint="eastAsia" w:ascii="Times New Roman" w:eastAsia="宋体"/>
          <w:szCs w:val="20"/>
        </w:rPr>
        <w:t>；</w:t>
      </w:r>
    </w:p>
    <w:p>
      <w:pPr>
        <w:pStyle w:val="51"/>
        <w:numPr>
          <w:ilvl w:val="0"/>
          <w:numId w:val="14"/>
        </w:numPr>
        <w:spacing w:before="0" w:beforeLines="0" w:after="0" w:afterLines="0"/>
        <w:rPr>
          <w:rFonts w:ascii="Times New Roman" w:eastAsia="宋体"/>
          <w:szCs w:val="20"/>
        </w:rPr>
      </w:pPr>
      <w:r>
        <w:rPr>
          <w:rFonts w:hint="eastAsia" w:ascii="Times New Roman" w:eastAsia="宋体"/>
          <w:szCs w:val="20"/>
        </w:rPr>
        <w:t>以</w:t>
      </w:r>
      <w:r>
        <w:rPr>
          <w:rFonts w:ascii="Times New Roman" w:eastAsia="宋体"/>
          <w:szCs w:val="20"/>
        </w:rPr>
        <w:t>制造商</w:t>
      </w:r>
      <w:r>
        <w:rPr>
          <w:rFonts w:hint="eastAsia" w:ascii="Times New Roman" w:eastAsia="宋体"/>
          <w:szCs w:val="20"/>
        </w:rPr>
        <w:t>规定</w:t>
      </w:r>
      <w:r>
        <w:rPr>
          <w:rFonts w:ascii="Times New Roman" w:eastAsia="宋体"/>
          <w:szCs w:val="20"/>
        </w:rPr>
        <w:t>的</w:t>
      </w:r>
      <w:r>
        <w:rPr>
          <w:rFonts w:hint="eastAsia" w:ascii="Times New Roman" w:eastAsia="宋体"/>
          <w:szCs w:val="20"/>
        </w:rPr>
        <w:t>且不小于1</w:t>
      </w:r>
      <w:r>
        <w:rPr>
          <w:rFonts w:ascii="Times New Roman" w:eastAsia="宋体"/>
          <w:i/>
          <w:szCs w:val="20"/>
        </w:rPr>
        <w:t xml:space="preserve"> I</w:t>
      </w:r>
      <w:r>
        <w:rPr>
          <w:rFonts w:ascii="Times New Roman" w:eastAsia="宋体"/>
          <w:szCs w:val="20"/>
          <w:vertAlign w:val="subscript"/>
        </w:rPr>
        <w:t>3</w:t>
      </w:r>
      <w:r>
        <w:rPr>
          <w:rFonts w:hint="eastAsia" w:ascii="Times New Roman" w:eastAsia="宋体"/>
          <w:szCs w:val="20"/>
        </w:rPr>
        <w:t>的</w:t>
      </w:r>
      <w:r>
        <w:rPr>
          <w:rFonts w:ascii="Times New Roman" w:eastAsia="宋体"/>
          <w:szCs w:val="20"/>
        </w:rPr>
        <w:t>电流放电至制造商规定的放电截止条件；</w:t>
      </w:r>
    </w:p>
    <w:p>
      <w:pPr>
        <w:pStyle w:val="51"/>
        <w:numPr>
          <w:ilvl w:val="0"/>
          <w:numId w:val="14"/>
        </w:numPr>
        <w:spacing w:before="0" w:beforeLines="0" w:after="0" w:afterLines="0"/>
        <w:rPr>
          <w:rFonts w:ascii="Times New Roman" w:eastAsia="宋体"/>
          <w:szCs w:val="20"/>
        </w:rPr>
      </w:pPr>
      <w:r>
        <w:rPr>
          <w:rFonts w:hint="eastAsia" w:ascii="Times New Roman" w:eastAsia="宋体"/>
          <w:szCs w:val="20"/>
        </w:rPr>
        <w:t>静置</w:t>
      </w:r>
      <w:r>
        <w:rPr>
          <w:rFonts w:ascii="Times New Roman" w:eastAsia="宋体"/>
          <w:szCs w:val="20"/>
        </w:rPr>
        <w:t>30 min</w:t>
      </w:r>
      <w:r>
        <w:rPr>
          <w:rFonts w:hint="eastAsia" w:ascii="Times New Roman" w:eastAsia="宋体"/>
          <w:szCs w:val="20"/>
        </w:rPr>
        <w:t>或制造商规定时间；</w:t>
      </w:r>
    </w:p>
    <w:p>
      <w:pPr>
        <w:pStyle w:val="51"/>
        <w:numPr>
          <w:ilvl w:val="0"/>
          <w:numId w:val="14"/>
        </w:numPr>
        <w:spacing w:before="0" w:beforeLines="0" w:after="0" w:afterLines="0"/>
        <w:rPr>
          <w:rFonts w:ascii="Times New Roman" w:eastAsia="宋体"/>
          <w:szCs w:val="20"/>
        </w:rPr>
      </w:pPr>
      <w:r>
        <w:rPr>
          <w:rFonts w:hint="eastAsia" w:ascii="Times New Roman" w:eastAsia="宋体"/>
          <w:szCs w:val="20"/>
        </w:rPr>
        <w:t>重复步骤a)~</w:t>
      </w:r>
      <w:r>
        <w:rPr>
          <w:rFonts w:ascii="Times New Roman" w:eastAsia="宋体"/>
          <w:szCs w:val="20"/>
        </w:rPr>
        <w:t>c</w:t>
      </w:r>
      <w:r>
        <w:rPr>
          <w:rFonts w:hint="eastAsia" w:ascii="Times New Roman" w:eastAsia="宋体"/>
          <w:szCs w:val="20"/>
        </w:rPr>
        <w:t>)不超过5次。</w:t>
      </w:r>
    </w:p>
    <w:p>
      <w:pPr>
        <w:pStyle w:val="51"/>
        <w:spacing w:before="156" w:after="156"/>
        <w:ind w:left="0" w:firstLine="0"/>
        <w:rPr>
          <w:rFonts w:asciiTheme="minorEastAsia" w:hAnsiTheme="minorEastAsia" w:eastAsiaTheme="minorEastAsia"/>
        </w:rPr>
      </w:pPr>
      <w:r>
        <w:rPr>
          <w:rFonts w:hint="eastAsia" w:asciiTheme="minorEastAsia" w:hAnsiTheme="minorEastAsia" w:eastAsiaTheme="minorEastAsia"/>
        </w:rPr>
        <w:t>如果电池单体连续两次的放电容量变化不高于额定容量的</w:t>
      </w:r>
      <w:r>
        <w:rPr>
          <w:rFonts w:ascii="Times New Roman" w:eastAsiaTheme="minorEastAsia"/>
        </w:rPr>
        <w:t>3%</w:t>
      </w:r>
      <w:r>
        <w:rPr>
          <w:rFonts w:hint="eastAsia" w:asciiTheme="minorEastAsia" w:hAnsiTheme="minorEastAsia" w:eastAsiaTheme="minorEastAsia"/>
        </w:rPr>
        <w:t>，则认为电池单体完成了预处理，预处理循环可以中止。</w:t>
      </w:r>
    </w:p>
    <w:p>
      <w:pPr>
        <w:pStyle w:val="42"/>
        <w:spacing w:before="156" w:after="156"/>
        <w:ind w:left="0"/>
        <w:rPr>
          <w:rFonts w:hAnsi="黑体"/>
        </w:rPr>
      </w:pPr>
      <w:bookmarkStart w:id="997" w:name="_Toc513234342"/>
      <w:bookmarkStart w:id="998" w:name="_Toc450682950"/>
      <w:r>
        <w:rPr>
          <w:rFonts w:hint="eastAsia" w:hAnsi="黑体"/>
        </w:rPr>
        <w:t>电池包或系统试验准备</w:t>
      </w:r>
      <w:bookmarkEnd w:id="997"/>
    </w:p>
    <w:p>
      <w:pPr>
        <w:pStyle w:val="46"/>
        <w:spacing w:before="156" w:after="156"/>
        <w:ind w:left="2"/>
        <w:outlineLvl w:val="2"/>
        <w:rPr>
          <w:rFonts w:hAnsi="黑体"/>
        </w:rPr>
      </w:pPr>
      <w:bookmarkStart w:id="999" w:name="_Toc513234343"/>
      <w:bookmarkStart w:id="1000" w:name="_Toc512454255"/>
      <w:bookmarkStart w:id="1001" w:name="_Toc513232479"/>
      <w:bookmarkStart w:id="1002" w:name="_Toc512347107"/>
      <w:bookmarkStart w:id="1003" w:name="_Toc511045365"/>
      <w:bookmarkStart w:id="1004" w:name="_Toc511831702"/>
      <w:r>
        <w:rPr>
          <w:rFonts w:hint="eastAsia" w:hAnsi="黑体"/>
        </w:rPr>
        <w:t>工作状态</w:t>
      </w:r>
      <w:r>
        <w:rPr>
          <w:rFonts w:hAnsi="黑体"/>
        </w:rPr>
        <w:t>确认</w:t>
      </w:r>
      <w:bookmarkEnd w:id="999"/>
      <w:bookmarkEnd w:id="1000"/>
      <w:bookmarkEnd w:id="1001"/>
      <w:bookmarkEnd w:id="1002"/>
      <w:bookmarkEnd w:id="1003"/>
      <w:bookmarkEnd w:id="1004"/>
    </w:p>
    <w:p>
      <w:pPr>
        <w:pStyle w:val="23"/>
      </w:pPr>
      <w:r>
        <w:rPr>
          <w:rFonts w:hint="eastAsia" w:asciiTheme="minorEastAsia" w:hAnsiTheme="minorEastAsia" w:eastAsiaTheme="minorEastAsia"/>
          <w:szCs w:val="21"/>
        </w:rPr>
        <w:t>正式</w:t>
      </w:r>
      <w:r>
        <w:rPr>
          <w:rFonts w:asciiTheme="minorEastAsia" w:hAnsiTheme="minorEastAsia" w:eastAsiaTheme="minorEastAsia"/>
          <w:szCs w:val="21"/>
        </w:rPr>
        <w:t>开始测试前，电池电子部件或</w:t>
      </w:r>
      <w:r>
        <w:rPr>
          <w:rFonts w:ascii="Times New Roman" w:eastAsiaTheme="minorEastAsia"/>
          <w:szCs w:val="21"/>
        </w:rPr>
        <w:t>BCU</w:t>
      </w:r>
      <w:r>
        <w:rPr>
          <w:rFonts w:hint="eastAsia" w:asciiTheme="minorEastAsia" w:hAnsiTheme="minorEastAsia" w:eastAsiaTheme="minorEastAsia"/>
          <w:szCs w:val="21"/>
        </w:rPr>
        <w:t>应处于</w:t>
      </w:r>
      <w:r>
        <w:rPr>
          <w:rFonts w:asciiTheme="minorEastAsia" w:hAnsiTheme="minorEastAsia" w:eastAsiaTheme="minorEastAsia"/>
          <w:szCs w:val="21"/>
        </w:rPr>
        <w:t>正常工作状态。</w:t>
      </w:r>
    </w:p>
    <w:p>
      <w:pPr>
        <w:pStyle w:val="46"/>
        <w:spacing w:before="156" w:after="156"/>
        <w:ind w:left="2"/>
        <w:outlineLvl w:val="2"/>
        <w:rPr>
          <w:rFonts w:hAnsi="黑体"/>
        </w:rPr>
      </w:pPr>
      <w:bookmarkStart w:id="1005" w:name="_Toc513232480"/>
      <w:bookmarkEnd w:id="1005"/>
      <w:bookmarkStart w:id="1006" w:name="_Toc513232482"/>
      <w:bookmarkEnd w:id="1006"/>
      <w:bookmarkStart w:id="1007" w:name="_Toc513232481"/>
      <w:bookmarkEnd w:id="1007"/>
      <w:bookmarkStart w:id="1008" w:name="_Toc513232493"/>
      <w:bookmarkStart w:id="1009" w:name="_Toc511831703"/>
      <w:bookmarkStart w:id="1010" w:name="_Toc468729522"/>
      <w:bookmarkStart w:id="1011" w:name="_Toc504059428"/>
      <w:bookmarkStart w:id="1012" w:name="_Toc512454256"/>
      <w:bookmarkStart w:id="1013" w:name="_Toc450682949"/>
      <w:bookmarkStart w:id="1014" w:name="_Toc511045366"/>
      <w:bookmarkStart w:id="1015" w:name="_Toc510644230"/>
      <w:bookmarkStart w:id="1016" w:name="_Toc512347108"/>
      <w:bookmarkStart w:id="1017" w:name="_Toc513234344"/>
      <w:r>
        <w:rPr>
          <w:rFonts w:hint="eastAsia" w:hAnsi="黑体"/>
        </w:rPr>
        <w:t>预处理</w:t>
      </w:r>
      <w:bookmarkEnd w:id="1008"/>
      <w:bookmarkEnd w:id="1009"/>
      <w:bookmarkEnd w:id="1010"/>
      <w:bookmarkEnd w:id="1011"/>
      <w:bookmarkEnd w:id="1012"/>
      <w:bookmarkEnd w:id="1013"/>
      <w:bookmarkEnd w:id="1014"/>
      <w:bookmarkEnd w:id="1015"/>
      <w:bookmarkEnd w:id="1016"/>
      <w:bookmarkEnd w:id="1017"/>
    </w:p>
    <w:p>
      <w:pPr>
        <w:pStyle w:val="51"/>
        <w:spacing w:before="156" w:after="0" w:afterLines="0"/>
        <w:ind w:left="0" w:firstLine="0"/>
        <w:rPr>
          <w:rFonts w:asciiTheme="minorEastAsia" w:hAnsiTheme="minorEastAsia" w:eastAsiaTheme="minorEastAsia"/>
        </w:rPr>
      </w:pPr>
      <w:r>
        <w:rPr>
          <w:rFonts w:hint="eastAsia" w:asciiTheme="minorEastAsia" w:hAnsiTheme="minorEastAsia" w:eastAsiaTheme="minorEastAsia"/>
        </w:rPr>
        <w:t>正式测试开始前，电池包或系统需要先进行预处理循环，以确保测试时试验对象的性能处于激活和稳定的状态。步骤如下：</w:t>
      </w:r>
    </w:p>
    <w:p>
      <w:pPr>
        <w:pStyle w:val="51"/>
        <w:numPr>
          <w:ilvl w:val="0"/>
          <w:numId w:val="15"/>
        </w:numPr>
        <w:spacing w:before="0" w:beforeLines="0" w:after="0" w:afterLines="0"/>
        <w:rPr>
          <w:rFonts w:ascii="Times New Roman" w:eastAsia="宋体"/>
          <w:szCs w:val="20"/>
        </w:rPr>
      </w:pPr>
      <w:r>
        <w:rPr>
          <w:rFonts w:ascii="Times New Roman" w:eastAsia="宋体"/>
          <w:szCs w:val="20"/>
        </w:rPr>
        <w:t>以</w:t>
      </w:r>
      <w:r>
        <w:rPr>
          <w:rFonts w:hint="eastAsia" w:ascii="Times New Roman" w:eastAsia="宋体"/>
          <w:szCs w:val="20"/>
        </w:rPr>
        <w:t>不小于</w:t>
      </w:r>
      <w:r>
        <w:rPr>
          <w:rFonts w:ascii="Times New Roman" w:eastAsiaTheme="minorEastAsia"/>
        </w:rPr>
        <w:t xml:space="preserve">1 </w:t>
      </w:r>
      <w:r>
        <w:rPr>
          <w:rFonts w:ascii="Times New Roman" w:eastAsiaTheme="minorEastAsia"/>
          <w:i/>
        </w:rPr>
        <w:t>I</w:t>
      </w:r>
      <w:r>
        <w:rPr>
          <w:rFonts w:ascii="Times New Roman" w:eastAsiaTheme="minorEastAsia"/>
          <w:vertAlign w:val="subscript"/>
        </w:rPr>
        <w:t>3</w:t>
      </w:r>
      <w:r>
        <w:rPr>
          <w:rFonts w:hint="eastAsia" w:ascii="Times New Roman" w:eastAsia="宋体"/>
          <w:szCs w:val="20"/>
        </w:rPr>
        <w:t>的电流</w:t>
      </w:r>
      <w:r>
        <w:rPr>
          <w:rFonts w:ascii="Times New Roman" w:eastAsia="宋体"/>
          <w:szCs w:val="20"/>
        </w:rPr>
        <w:t>或按照制造商推荐的充电方法充电至制造商规定的充电截止条件；</w:t>
      </w:r>
    </w:p>
    <w:p>
      <w:pPr>
        <w:pStyle w:val="51"/>
        <w:numPr>
          <w:ilvl w:val="0"/>
          <w:numId w:val="15"/>
        </w:numPr>
        <w:spacing w:before="0" w:beforeLines="0" w:after="0" w:afterLines="0"/>
        <w:rPr>
          <w:rFonts w:ascii="Times New Roman" w:eastAsia="宋体"/>
          <w:szCs w:val="20"/>
        </w:rPr>
      </w:pPr>
      <w:r>
        <w:rPr>
          <w:rFonts w:ascii="Times New Roman" w:eastAsia="宋体"/>
          <w:szCs w:val="20"/>
        </w:rPr>
        <w:t>静置30 min或制造商规定的时间；</w:t>
      </w:r>
    </w:p>
    <w:p>
      <w:pPr>
        <w:pStyle w:val="51"/>
        <w:numPr>
          <w:ilvl w:val="0"/>
          <w:numId w:val="15"/>
        </w:numPr>
        <w:spacing w:before="0" w:beforeLines="0" w:after="0" w:afterLines="0"/>
        <w:rPr>
          <w:rFonts w:ascii="Times New Roman" w:eastAsia="宋体"/>
          <w:szCs w:val="20"/>
        </w:rPr>
      </w:pPr>
      <w:bookmarkStart w:id="1018" w:name="OLE_LINK4"/>
      <w:bookmarkStart w:id="1019" w:name="OLE_LINK5"/>
      <w:bookmarkStart w:id="1020" w:name="OLE_LINK3"/>
      <w:r>
        <w:rPr>
          <w:rFonts w:hint="eastAsia" w:ascii="Times New Roman" w:eastAsia="宋体"/>
          <w:szCs w:val="20"/>
        </w:rPr>
        <w:t>以</w:t>
      </w:r>
      <w:r>
        <w:rPr>
          <w:rFonts w:ascii="Times New Roman" w:eastAsia="宋体"/>
          <w:szCs w:val="20"/>
        </w:rPr>
        <w:t>制造商</w:t>
      </w:r>
      <w:r>
        <w:rPr>
          <w:rFonts w:hint="eastAsia" w:ascii="Times New Roman" w:eastAsia="宋体"/>
          <w:szCs w:val="20"/>
        </w:rPr>
        <w:t>规定</w:t>
      </w:r>
      <w:r>
        <w:rPr>
          <w:rFonts w:ascii="Times New Roman" w:eastAsia="宋体"/>
          <w:szCs w:val="20"/>
        </w:rPr>
        <w:t>的</w:t>
      </w:r>
      <w:r>
        <w:rPr>
          <w:rFonts w:hint="eastAsia" w:ascii="Times New Roman" w:eastAsia="宋体"/>
          <w:szCs w:val="20"/>
        </w:rPr>
        <w:t>且不小于1</w:t>
      </w:r>
      <w:r>
        <w:rPr>
          <w:rFonts w:ascii="Times New Roman" w:eastAsia="宋体"/>
          <w:i/>
          <w:szCs w:val="20"/>
        </w:rPr>
        <w:t xml:space="preserve"> I</w:t>
      </w:r>
      <w:r>
        <w:rPr>
          <w:rFonts w:ascii="Times New Roman" w:eastAsia="宋体"/>
          <w:szCs w:val="20"/>
          <w:vertAlign w:val="subscript"/>
        </w:rPr>
        <w:t>3</w:t>
      </w:r>
      <w:r>
        <w:rPr>
          <w:rFonts w:hint="eastAsia" w:ascii="Times New Roman" w:eastAsia="宋体"/>
          <w:szCs w:val="20"/>
        </w:rPr>
        <w:t>的</w:t>
      </w:r>
      <w:r>
        <w:rPr>
          <w:rFonts w:ascii="Times New Roman" w:eastAsia="宋体"/>
          <w:szCs w:val="20"/>
        </w:rPr>
        <w:t>电流放电至制造商规定的放电截止条件</w:t>
      </w:r>
      <w:bookmarkEnd w:id="1018"/>
      <w:bookmarkEnd w:id="1019"/>
      <w:bookmarkEnd w:id="1020"/>
      <w:r>
        <w:rPr>
          <w:rFonts w:ascii="Times New Roman" w:eastAsia="宋体"/>
          <w:szCs w:val="20"/>
        </w:rPr>
        <w:t>；</w:t>
      </w:r>
    </w:p>
    <w:p>
      <w:pPr>
        <w:pStyle w:val="51"/>
        <w:numPr>
          <w:ilvl w:val="0"/>
          <w:numId w:val="15"/>
        </w:numPr>
        <w:spacing w:before="0" w:beforeLines="0" w:after="0" w:afterLines="0"/>
        <w:rPr>
          <w:rFonts w:ascii="Times New Roman" w:eastAsia="宋体"/>
          <w:szCs w:val="20"/>
        </w:rPr>
      </w:pPr>
      <w:r>
        <w:rPr>
          <w:rFonts w:ascii="Times New Roman" w:eastAsia="宋体"/>
          <w:szCs w:val="20"/>
        </w:rPr>
        <w:t>静置30 min或制造商规定的时间；</w:t>
      </w:r>
    </w:p>
    <w:p>
      <w:pPr>
        <w:pStyle w:val="51"/>
        <w:numPr>
          <w:ilvl w:val="0"/>
          <w:numId w:val="15"/>
        </w:numPr>
        <w:spacing w:before="0" w:beforeLines="0" w:after="0" w:afterLines="0"/>
        <w:rPr>
          <w:rFonts w:ascii="Times New Roman" w:eastAsia="宋体"/>
          <w:szCs w:val="20"/>
        </w:rPr>
      </w:pPr>
      <w:r>
        <w:rPr>
          <w:rFonts w:ascii="Times New Roman" w:eastAsia="宋体"/>
          <w:szCs w:val="20"/>
        </w:rPr>
        <w:t>重复步骤a)~d)</w:t>
      </w:r>
      <w:r>
        <w:rPr>
          <w:rFonts w:hint="eastAsia" w:ascii="Times New Roman" w:eastAsia="宋体"/>
          <w:szCs w:val="20"/>
        </w:rPr>
        <w:t>不超过</w:t>
      </w:r>
      <w:r>
        <w:rPr>
          <w:rFonts w:ascii="Times New Roman" w:eastAsia="宋体"/>
          <w:szCs w:val="20"/>
        </w:rPr>
        <w:t>5次。</w:t>
      </w:r>
    </w:p>
    <w:p>
      <w:pPr>
        <w:pStyle w:val="51"/>
        <w:spacing w:before="156" w:after="156"/>
        <w:ind w:left="0" w:firstLine="0"/>
        <w:rPr>
          <w:rFonts w:ascii="Times New Roman" w:eastAsiaTheme="minorEastAsia"/>
        </w:rPr>
      </w:pPr>
      <w:r>
        <w:rPr>
          <w:rFonts w:hint="eastAsia" w:asciiTheme="minorEastAsia" w:hAnsiTheme="minorEastAsia" w:eastAsiaTheme="minorEastAsia"/>
        </w:rPr>
        <w:t>如果电池包或系统连续两次的放电容量变</w:t>
      </w:r>
      <w:r>
        <w:rPr>
          <w:rFonts w:hint="eastAsia" w:ascii="Times New Roman" w:eastAsia="宋体"/>
          <w:szCs w:val="20"/>
        </w:rPr>
        <w:t>化不高于额定容量的3%，则认为电池包或系统完成了预处理，预处理循环可以中止</w:t>
      </w:r>
      <w:r>
        <w:rPr>
          <w:rFonts w:hint="eastAsia" w:ascii="Times New Roman" w:eastAsiaTheme="minorEastAsia"/>
        </w:rPr>
        <w:t>。</w:t>
      </w:r>
    </w:p>
    <w:p>
      <w:pPr>
        <w:pStyle w:val="51"/>
        <w:spacing w:before="156" w:after="156"/>
        <w:ind w:left="0" w:firstLine="0"/>
        <w:jc w:val="both"/>
        <w:rPr>
          <w:rFonts w:asciiTheme="minorEastAsia" w:hAnsiTheme="minorEastAsia" w:eastAsiaTheme="minorEastAsia"/>
        </w:rPr>
      </w:pPr>
      <w:r>
        <w:rPr>
          <w:rFonts w:hint="eastAsia" w:asciiTheme="minorEastAsia" w:hAnsiTheme="minorEastAsia" w:eastAsiaTheme="minorEastAsia"/>
        </w:rPr>
        <w:t>除在某些具体测试项目中另有说明，否则若预处理循环完成</w:t>
      </w:r>
      <w:r>
        <w:rPr>
          <w:rFonts w:asciiTheme="minorEastAsia" w:hAnsiTheme="minorEastAsia" w:eastAsiaTheme="minorEastAsia"/>
        </w:rPr>
        <w:t>并</w:t>
      </w:r>
      <w:r>
        <w:rPr>
          <w:rFonts w:hint="eastAsia" w:asciiTheme="minorEastAsia" w:hAnsiTheme="minorEastAsia" w:eastAsiaTheme="minorEastAsia"/>
        </w:rPr>
        <w:t>满充</w:t>
      </w:r>
      <w:r>
        <w:rPr>
          <w:rFonts w:asciiTheme="minorEastAsia" w:hAnsiTheme="minorEastAsia" w:eastAsiaTheme="minorEastAsia"/>
        </w:rPr>
        <w:t>后和一个新的测试项目之间时间间隔大于</w:t>
      </w:r>
      <w:r>
        <w:rPr>
          <w:rFonts w:ascii="Times New Roman" w:eastAsiaTheme="minorEastAsia"/>
        </w:rPr>
        <w:t xml:space="preserve">24 </w:t>
      </w:r>
      <w:r>
        <w:rPr>
          <w:rFonts w:hint="default" w:ascii="Times New Roman" w:hAnsi="Times New Roman" w:cs="Times New Roman" w:eastAsiaTheme="minorEastAsia"/>
        </w:rPr>
        <w:t>h</w:t>
      </w:r>
      <w:r>
        <w:rPr>
          <w:rFonts w:asciiTheme="minorEastAsia" w:hAnsiTheme="minorEastAsia" w:eastAsiaTheme="minorEastAsia"/>
        </w:rPr>
        <w:t>，则需要重新进行一次标准充电：使用不小于</w:t>
      </w:r>
      <w:r>
        <w:rPr>
          <w:rFonts w:ascii="Times New Roman" w:eastAsiaTheme="minorEastAsia"/>
        </w:rPr>
        <w:t xml:space="preserve">1 </w:t>
      </w:r>
      <w:r>
        <w:rPr>
          <w:rFonts w:ascii="Times New Roman" w:eastAsiaTheme="minorEastAsia"/>
          <w:i/>
        </w:rPr>
        <w:t>I</w:t>
      </w:r>
      <w:r>
        <w:rPr>
          <w:rFonts w:ascii="Times New Roman" w:eastAsiaTheme="minorEastAsia"/>
          <w:vertAlign w:val="subscript"/>
        </w:rPr>
        <w:t>3</w:t>
      </w:r>
      <w:r>
        <w:rPr>
          <w:rFonts w:hint="eastAsia" w:asciiTheme="minorEastAsia" w:hAnsiTheme="minorEastAsia" w:eastAsiaTheme="minorEastAsia"/>
        </w:rPr>
        <w:t>的电流</w:t>
      </w:r>
      <w:r>
        <w:rPr>
          <w:rFonts w:asciiTheme="minorEastAsia" w:hAnsiTheme="minorEastAsia" w:eastAsiaTheme="minorEastAsia"/>
        </w:rPr>
        <w:t>充电至制造商规定的充电截止条件或按照制造商推荐的充电</w:t>
      </w:r>
      <w:r>
        <w:rPr>
          <w:rFonts w:hint="eastAsia" w:asciiTheme="minorEastAsia" w:hAnsiTheme="minorEastAsia" w:eastAsiaTheme="minorEastAsia"/>
        </w:rPr>
        <w:t>方法</w:t>
      </w:r>
      <w:r>
        <w:rPr>
          <w:rFonts w:asciiTheme="minorEastAsia" w:hAnsiTheme="minorEastAsia" w:eastAsiaTheme="minorEastAsia"/>
        </w:rPr>
        <w:t>充电，静置</w:t>
      </w:r>
      <w:r>
        <w:rPr>
          <w:rFonts w:ascii="Times New Roman" w:eastAsiaTheme="minorEastAsia"/>
        </w:rPr>
        <w:t>30</w:t>
      </w:r>
      <w:r>
        <w:rPr>
          <w:rFonts w:asciiTheme="minorEastAsia" w:hAnsiTheme="minorEastAsia" w:eastAsiaTheme="minorEastAsia"/>
        </w:rPr>
        <w:t xml:space="preserve"> </w:t>
      </w:r>
      <w:r>
        <w:rPr>
          <w:rFonts w:hint="default" w:ascii="Times New Roman" w:hAnsi="Times New Roman" w:cs="Times New Roman" w:eastAsiaTheme="minorEastAsia"/>
        </w:rPr>
        <w:t>min</w:t>
      </w:r>
      <w:r>
        <w:rPr>
          <w:rFonts w:hint="eastAsia" w:asciiTheme="minorEastAsia" w:hAnsiTheme="minorEastAsia" w:eastAsiaTheme="minorEastAsia"/>
        </w:rPr>
        <w:t>或</w:t>
      </w:r>
      <w:r>
        <w:rPr>
          <w:rFonts w:asciiTheme="minorEastAsia" w:hAnsiTheme="minorEastAsia" w:eastAsiaTheme="minorEastAsia"/>
        </w:rPr>
        <w:t>制造商规定的</w:t>
      </w:r>
      <w:r>
        <w:rPr>
          <w:rFonts w:hint="eastAsia" w:asciiTheme="minorEastAsia" w:hAnsiTheme="minorEastAsia" w:eastAsiaTheme="minorEastAsia"/>
        </w:rPr>
        <w:t>时间</w:t>
      </w:r>
      <w:r>
        <w:rPr>
          <w:rFonts w:asciiTheme="minorEastAsia" w:hAnsiTheme="minorEastAsia" w:eastAsiaTheme="minorEastAsia"/>
        </w:rPr>
        <w:t>。</w:t>
      </w:r>
    </w:p>
    <w:p>
      <w:pPr>
        <w:pStyle w:val="45"/>
        <w:spacing w:before="312" w:after="312"/>
        <w:rPr>
          <w:rFonts w:ascii="Times New Roman"/>
        </w:rPr>
      </w:pPr>
      <w:bookmarkStart w:id="1021" w:name="_Toc513234345"/>
      <w:r>
        <w:rPr>
          <w:rFonts w:ascii="Times New Roman"/>
        </w:rPr>
        <w:t>试验</w:t>
      </w:r>
      <w:r>
        <w:rPr>
          <w:rFonts w:hint="eastAsia" w:ascii="Times New Roman"/>
        </w:rPr>
        <w:t>方法</w:t>
      </w:r>
      <w:bookmarkEnd w:id="1021"/>
    </w:p>
    <w:p>
      <w:pPr>
        <w:pStyle w:val="42"/>
        <w:spacing w:before="156" w:after="156"/>
        <w:ind w:left="0"/>
        <w:rPr>
          <w:rFonts w:hAnsi="黑体"/>
        </w:rPr>
      </w:pPr>
      <w:bookmarkStart w:id="1022" w:name="_Toc513234346"/>
      <w:r>
        <w:rPr>
          <w:rFonts w:hint="eastAsia" w:hAnsi="黑体"/>
        </w:rPr>
        <w:t>电池单体安全性试验方法</w:t>
      </w:r>
      <w:bookmarkEnd w:id="1022"/>
    </w:p>
    <w:p>
      <w:pPr>
        <w:pStyle w:val="46"/>
        <w:spacing w:before="156" w:after="156"/>
        <w:ind w:left="2"/>
        <w:outlineLvl w:val="2"/>
        <w:rPr>
          <w:rFonts w:hAnsi="黑体"/>
        </w:rPr>
      </w:pPr>
      <w:bookmarkStart w:id="1023" w:name="_Toc452665675"/>
      <w:bookmarkStart w:id="1024" w:name="_Toc513232496"/>
      <w:bookmarkStart w:id="1025" w:name="_Toc504059431"/>
      <w:bookmarkStart w:id="1026" w:name="_Toc513234347"/>
      <w:r>
        <w:rPr>
          <w:rFonts w:hAnsi="黑体"/>
        </w:rPr>
        <w:t>一般要求</w:t>
      </w:r>
      <w:bookmarkEnd w:id="1023"/>
      <w:bookmarkEnd w:id="1024"/>
      <w:bookmarkEnd w:id="1025"/>
      <w:bookmarkEnd w:id="1026"/>
    </w:p>
    <w:p>
      <w:pPr>
        <w:pStyle w:val="51"/>
        <w:numPr>
          <w:ilvl w:val="0"/>
          <w:numId w:val="0"/>
        </w:numPr>
        <w:spacing w:before="156" w:after="156"/>
        <w:ind w:firstLine="630" w:firstLineChars="300"/>
        <w:jc w:val="both"/>
        <w:rPr>
          <w:rFonts w:asciiTheme="minorEastAsia" w:hAnsiTheme="minorEastAsia" w:eastAsiaTheme="minorEastAsia"/>
          <w:szCs w:val="20"/>
        </w:rPr>
      </w:pPr>
      <w:r>
        <w:rPr>
          <w:rFonts w:asciiTheme="minorEastAsia" w:hAnsiTheme="minorEastAsia" w:eastAsiaTheme="minorEastAsia"/>
          <w:szCs w:val="20"/>
        </w:rPr>
        <w:t>所有安全试验均在有充分</w:t>
      </w:r>
      <w:r>
        <w:rPr>
          <w:rFonts w:hint="eastAsia" w:asciiTheme="minorEastAsia" w:hAnsiTheme="minorEastAsia" w:eastAsiaTheme="minorEastAsia"/>
          <w:szCs w:val="20"/>
        </w:rPr>
        <w:t>安全</w:t>
      </w:r>
      <w:r>
        <w:rPr>
          <w:rFonts w:asciiTheme="minorEastAsia" w:hAnsiTheme="minorEastAsia" w:eastAsiaTheme="minorEastAsia"/>
          <w:szCs w:val="20"/>
        </w:rPr>
        <w:t>保护的</w:t>
      </w:r>
      <w:r>
        <w:rPr>
          <w:rFonts w:hint="eastAsia" w:asciiTheme="minorEastAsia" w:hAnsiTheme="minorEastAsia" w:eastAsiaTheme="minorEastAsia"/>
          <w:szCs w:val="20"/>
        </w:rPr>
        <w:t>环境</w:t>
      </w:r>
      <w:r>
        <w:rPr>
          <w:rFonts w:asciiTheme="minorEastAsia" w:hAnsiTheme="minorEastAsia" w:eastAsiaTheme="minorEastAsia"/>
          <w:szCs w:val="20"/>
        </w:rPr>
        <w:t>条件下进行。如果试验对象有附加主动保护线路或装置，应除去。</w:t>
      </w:r>
    </w:p>
    <w:p>
      <w:pPr>
        <w:pStyle w:val="46"/>
        <w:spacing w:before="156" w:after="156"/>
        <w:ind w:left="2"/>
        <w:outlineLvl w:val="2"/>
        <w:rPr>
          <w:rFonts w:hAnsi="黑体"/>
        </w:rPr>
      </w:pPr>
      <w:bookmarkStart w:id="1027" w:name="_Toc452665676"/>
      <w:bookmarkStart w:id="1028" w:name="_Toc504059432"/>
      <w:bookmarkStart w:id="1029" w:name="_Toc513234348"/>
      <w:bookmarkStart w:id="1030" w:name="_Toc513232497"/>
      <w:r>
        <w:rPr>
          <w:rFonts w:hAnsi="黑体"/>
        </w:rPr>
        <w:t>过放电</w:t>
      </w:r>
      <w:bookmarkEnd w:id="1027"/>
      <w:bookmarkEnd w:id="1028"/>
      <w:bookmarkEnd w:id="1029"/>
      <w:bookmarkEnd w:id="1030"/>
    </w:p>
    <w:p>
      <w:pPr>
        <w:pStyle w:val="51"/>
        <w:spacing w:before="156" w:after="156"/>
        <w:ind w:left="0" w:firstLine="0"/>
        <w:rPr>
          <w:rFonts w:ascii="Times New Roman" w:eastAsia="宋体"/>
          <w:szCs w:val="20"/>
        </w:rPr>
      </w:pPr>
      <w:r>
        <w:rPr>
          <w:rFonts w:hint="eastAsia" w:ascii="Times New Roman" w:eastAsia="宋体"/>
          <w:szCs w:val="20"/>
        </w:rPr>
        <w:t>试验对象为电池单体。</w:t>
      </w:r>
    </w:p>
    <w:p>
      <w:pPr>
        <w:pStyle w:val="51"/>
        <w:spacing w:before="156" w:after="156"/>
        <w:ind w:left="0" w:firstLine="0"/>
        <w:rPr>
          <w:rFonts w:ascii="Times New Roman" w:eastAsia="宋体"/>
          <w:szCs w:val="20"/>
        </w:rPr>
      </w:pPr>
      <w:r>
        <w:rPr>
          <w:rFonts w:hint="eastAsia" w:ascii="Times New Roman" w:eastAsia="宋体"/>
          <w:szCs w:val="20"/>
        </w:rPr>
        <w:t>试验对象</w:t>
      </w:r>
      <w:r>
        <w:rPr>
          <w:rFonts w:ascii="Times New Roman" w:eastAsia="宋体"/>
          <w:szCs w:val="20"/>
        </w:rPr>
        <w:t>按</w:t>
      </w:r>
      <w:r>
        <w:rPr>
          <w:rFonts w:hint="eastAsia" w:ascii="Times New Roman" w:eastAsia="宋体"/>
          <w:szCs w:val="20"/>
        </w:rPr>
        <w:t>7</w:t>
      </w:r>
      <w:r>
        <w:rPr>
          <w:rFonts w:ascii="Times New Roman" w:eastAsia="宋体"/>
          <w:szCs w:val="20"/>
        </w:rPr>
        <w:t>.1</w:t>
      </w:r>
      <w:r>
        <w:rPr>
          <w:rFonts w:hint="eastAsia" w:ascii="Times New Roman" w:eastAsia="宋体"/>
          <w:szCs w:val="20"/>
        </w:rPr>
        <w:t>.1</w:t>
      </w:r>
      <w:r>
        <w:rPr>
          <w:rFonts w:ascii="Times New Roman" w:eastAsia="宋体"/>
          <w:szCs w:val="20"/>
        </w:rPr>
        <w:t>方法</w:t>
      </w:r>
      <w:r>
        <w:rPr>
          <w:rFonts w:hint="eastAsia" w:ascii="Times New Roman" w:eastAsia="宋体"/>
          <w:szCs w:val="20"/>
        </w:rPr>
        <w:t>充电</w:t>
      </w:r>
      <w:r>
        <w:rPr>
          <w:rFonts w:ascii="Times New Roman" w:eastAsia="宋体"/>
          <w:szCs w:val="20"/>
        </w:rPr>
        <w:t>。</w:t>
      </w:r>
    </w:p>
    <w:p>
      <w:pPr>
        <w:pStyle w:val="51"/>
        <w:spacing w:before="156" w:after="156"/>
        <w:ind w:left="0" w:firstLine="0"/>
        <w:rPr>
          <w:rFonts w:ascii="Times New Roman" w:eastAsia="宋体"/>
          <w:szCs w:val="20"/>
        </w:rPr>
      </w:pPr>
      <w:r>
        <w:rPr>
          <w:rFonts w:ascii="Times New Roman" w:eastAsia="宋体"/>
          <w:szCs w:val="20"/>
        </w:rPr>
        <w:t>以1</w:t>
      </w:r>
      <w:r>
        <w:rPr>
          <w:rFonts w:ascii="Times New Roman" w:eastAsia="宋体"/>
          <w:i/>
          <w:iCs/>
          <w:szCs w:val="20"/>
        </w:rPr>
        <w:t xml:space="preserve"> I</w:t>
      </w:r>
      <w:r>
        <w:rPr>
          <w:rFonts w:ascii="Times New Roman" w:eastAsia="宋体"/>
          <w:i/>
          <w:iCs/>
          <w:szCs w:val="20"/>
          <w:vertAlign w:val="subscript"/>
        </w:rPr>
        <w:t>1</w:t>
      </w:r>
      <w:r>
        <w:rPr>
          <w:rFonts w:ascii="Times New Roman" w:eastAsia="宋体"/>
          <w:szCs w:val="20"/>
        </w:rPr>
        <w:t>电流放电90 min。</w:t>
      </w:r>
    </w:p>
    <w:p>
      <w:pPr>
        <w:pStyle w:val="51"/>
        <w:spacing w:before="156" w:after="156"/>
        <w:ind w:left="0" w:firstLine="0"/>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，在试验环境温度下</w:t>
      </w:r>
      <w:r>
        <w:rPr>
          <w:rFonts w:ascii="Times New Roman" w:eastAsia="宋体"/>
          <w:szCs w:val="20"/>
        </w:rPr>
        <w:t>观察1 h。</w:t>
      </w:r>
    </w:p>
    <w:p>
      <w:pPr>
        <w:pStyle w:val="46"/>
        <w:spacing w:before="156" w:after="156"/>
        <w:ind w:left="2"/>
        <w:outlineLvl w:val="2"/>
        <w:rPr>
          <w:rFonts w:hAnsi="黑体"/>
        </w:rPr>
      </w:pPr>
      <w:bookmarkStart w:id="1031" w:name="_Toc513232498"/>
      <w:bookmarkStart w:id="1032" w:name="_Toc513234349"/>
      <w:bookmarkStart w:id="1033" w:name="_Toc504059433"/>
      <w:bookmarkStart w:id="1034" w:name="_Toc452665677"/>
      <w:r>
        <w:rPr>
          <w:rFonts w:hint="eastAsia" w:hAnsi="黑体"/>
        </w:rPr>
        <w:t>过充电</w:t>
      </w:r>
      <w:bookmarkEnd w:id="1031"/>
      <w:bookmarkEnd w:id="1032"/>
      <w:bookmarkEnd w:id="1033"/>
      <w:bookmarkEnd w:id="1034"/>
    </w:p>
    <w:p>
      <w:pPr>
        <w:pStyle w:val="51"/>
        <w:spacing w:before="156" w:after="156"/>
        <w:ind w:left="0" w:firstLine="0"/>
        <w:rPr>
          <w:rFonts w:ascii="Times New Roman" w:eastAsia="宋体"/>
          <w:szCs w:val="20"/>
        </w:rPr>
      </w:pPr>
      <w:r>
        <w:rPr>
          <w:rFonts w:hint="eastAsia" w:ascii="Times New Roman" w:eastAsia="宋体"/>
          <w:szCs w:val="20"/>
        </w:rPr>
        <w:t>试验对象为电池单体。</w:t>
      </w:r>
    </w:p>
    <w:p>
      <w:pPr>
        <w:pStyle w:val="51"/>
        <w:spacing w:before="156" w:after="156"/>
        <w:ind w:left="0" w:firstLine="0"/>
        <w:rPr>
          <w:rFonts w:ascii="Times New Roman" w:eastAsia="宋体"/>
          <w:szCs w:val="20"/>
        </w:rPr>
      </w:pPr>
      <w:r>
        <w:rPr>
          <w:rFonts w:hint="eastAsia" w:ascii="Times New Roman" w:eastAsia="宋体"/>
          <w:szCs w:val="20"/>
        </w:rPr>
        <w:t>试验对象</w:t>
      </w:r>
      <w:r>
        <w:rPr>
          <w:rFonts w:ascii="Times New Roman" w:eastAsia="宋体"/>
          <w:szCs w:val="20"/>
        </w:rPr>
        <w:t>按</w:t>
      </w:r>
      <w:r>
        <w:rPr>
          <w:rFonts w:hint="eastAsia" w:ascii="Times New Roman" w:eastAsia="宋体"/>
          <w:szCs w:val="20"/>
        </w:rPr>
        <w:t>7</w:t>
      </w:r>
      <w:r>
        <w:rPr>
          <w:rFonts w:ascii="Times New Roman" w:eastAsia="宋体"/>
          <w:szCs w:val="20"/>
        </w:rPr>
        <w:t>.1</w:t>
      </w:r>
      <w:r>
        <w:rPr>
          <w:rFonts w:hint="eastAsia" w:ascii="Times New Roman" w:eastAsia="宋体"/>
          <w:szCs w:val="20"/>
        </w:rPr>
        <w:t>.1</w:t>
      </w:r>
      <w:r>
        <w:rPr>
          <w:rFonts w:ascii="Times New Roman" w:eastAsia="宋体"/>
          <w:szCs w:val="20"/>
        </w:rPr>
        <w:t>方法</w:t>
      </w:r>
      <w:r>
        <w:rPr>
          <w:rFonts w:hint="eastAsia" w:ascii="Times New Roman" w:eastAsia="宋体"/>
          <w:szCs w:val="20"/>
        </w:rPr>
        <w:t>充电</w:t>
      </w:r>
      <w:r>
        <w:rPr>
          <w:rFonts w:ascii="Times New Roman" w:eastAsia="宋体"/>
          <w:szCs w:val="20"/>
        </w:rPr>
        <w:t>。</w:t>
      </w:r>
    </w:p>
    <w:p>
      <w:pPr>
        <w:pStyle w:val="51"/>
        <w:spacing w:before="156" w:after="156"/>
        <w:ind w:left="0" w:firstLine="0"/>
        <w:jc w:val="both"/>
        <w:rPr>
          <w:rFonts w:ascii="Times New Roman" w:eastAsia="宋体"/>
          <w:szCs w:val="20"/>
        </w:rPr>
      </w:pPr>
      <w:r>
        <w:rPr>
          <w:rFonts w:ascii="Times New Roman" w:eastAsia="宋体"/>
          <w:szCs w:val="20"/>
        </w:rPr>
        <w:t>以</w:t>
      </w:r>
      <w:r>
        <w:rPr>
          <w:rFonts w:hint="eastAsia" w:ascii="Times New Roman" w:eastAsia="宋体"/>
          <w:szCs w:val="20"/>
        </w:rPr>
        <w:t>制造商规定且不小于1</w:t>
      </w:r>
      <w:r>
        <w:rPr>
          <w:rFonts w:ascii="Times New Roman" w:eastAsia="宋体"/>
          <w:szCs w:val="20"/>
        </w:rPr>
        <w:t xml:space="preserve"> </w:t>
      </w:r>
      <w:r>
        <w:rPr>
          <w:rFonts w:ascii="Times New Roman" w:eastAsia="宋体"/>
          <w:i/>
          <w:iCs/>
          <w:szCs w:val="20"/>
        </w:rPr>
        <w:t>I</w:t>
      </w:r>
      <w:r>
        <w:rPr>
          <w:rFonts w:ascii="Times New Roman" w:eastAsia="宋体"/>
          <w:i/>
          <w:iCs/>
          <w:szCs w:val="20"/>
          <w:vertAlign w:val="subscript"/>
        </w:rPr>
        <w:t>3</w:t>
      </w:r>
      <w:r>
        <w:rPr>
          <w:rFonts w:hint="eastAsia" w:ascii="Times New Roman" w:eastAsia="宋体"/>
          <w:i/>
          <w:iCs/>
          <w:szCs w:val="20"/>
        </w:rPr>
        <w:t xml:space="preserve"> </w:t>
      </w:r>
      <w:r>
        <w:rPr>
          <w:rFonts w:hint="eastAsia" w:ascii="Times New Roman" w:eastAsia="宋体"/>
          <w:szCs w:val="20"/>
        </w:rPr>
        <w:t>的</w:t>
      </w:r>
      <w:r>
        <w:rPr>
          <w:rFonts w:ascii="Times New Roman" w:eastAsia="宋体"/>
          <w:szCs w:val="20"/>
        </w:rPr>
        <w:t>电流恒流充电</w:t>
      </w:r>
      <w:r>
        <w:rPr>
          <w:rFonts w:hint="eastAsia" w:ascii="Times New Roman" w:eastAsia="宋体"/>
          <w:szCs w:val="20"/>
        </w:rPr>
        <w:t>至制造商规定的充电终止电压的</w:t>
      </w:r>
      <w:r>
        <w:rPr>
          <w:rFonts w:ascii="Times New Roman" w:eastAsia="宋体"/>
          <w:szCs w:val="20"/>
        </w:rPr>
        <w:t>1.1</w:t>
      </w:r>
      <w:r>
        <w:rPr>
          <w:rFonts w:hint="eastAsia" w:ascii="Times New Roman" w:eastAsia="宋体"/>
          <w:szCs w:val="20"/>
        </w:rPr>
        <w:t>倍或</w:t>
      </w:r>
      <w:r>
        <w:rPr>
          <w:rFonts w:ascii="Times New Roman" w:eastAsia="宋体"/>
          <w:szCs w:val="20"/>
        </w:rPr>
        <w:t>115% SOC</w:t>
      </w:r>
      <w:r>
        <w:rPr>
          <w:rFonts w:hint="eastAsia" w:ascii="Times New Roman" w:eastAsia="宋体"/>
          <w:szCs w:val="20"/>
        </w:rPr>
        <w:t>后</w:t>
      </w:r>
      <w:r>
        <w:rPr>
          <w:rFonts w:ascii="Times New Roman" w:eastAsia="宋体"/>
          <w:szCs w:val="20"/>
        </w:rPr>
        <w:t>，停止充电。</w:t>
      </w:r>
    </w:p>
    <w:p>
      <w:pPr>
        <w:pStyle w:val="51"/>
        <w:spacing w:before="156" w:after="156"/>
        <w:ind w:left="0" w:firstLine="0"/>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，在试验环境温度下</w:t>
      </w:r>
      <w:r>
        <w:rPr>
          <w:rFonts w:ascii="Times New Roman" w:eastAsia="宋体"/>
          <w:szCs w:val="20"/>
        </w:rPr>
        <w:t>观察1 h。</w:t>
      </w:r>
    </w:p>
    <w:p>
      <w:pPr>
        <w:pStyle w:val="46"/>
        <w:spacing w:before="156" w:after="156"/>
        <w:ind w:left="2"/>
        <w:outlineLvl w:val="2"/>
        <w:rPr>
          <w:rFonts w:hAnsi="黑体"/>
        </w:rPr>
      </w:pPr>
      <w:bookmarkStart w:id="1035" w:name="_Toc504059434"/>
      <w:bookmarkStart w:id="1036" w:name="_Toc513234350"/>
      <w:bookmarkStart w:id="1037" w:name="_Toc452665678"/>
      <w:bookmarkStart w:id="1038" w:name="_Toc513232499"/>
      <w:r>
        <w:rPr>
          <w:rFonts w:hint="eastAsia" w:hAnsi="黑体"/>
        </w:rPr>
        <w:t>外部短路</w:t>
      </w:r>
      <w:bookmarkEnd w:id="1035"/>
      <w:bookmarkEnd w:id="1036"/>
      <w:bookmarkEnd w:id="1037"/>
      <w:bookmarkEnd w:id="1038"/>
    </w:p>
    <w:p>
      <w:pPr>
        <w:pStyle w:val="51"/>
        <w:spacing w:before="156" w:after="156"/>
        <w:ind w:left="0" w:firstLine="0"/>
        <w:rPr>
          <w:rFonts w:ascii="Times New Roman" w:eastAsia="宋体"/>
          <w:szCs w:val="20"/>
        </w:rPr>
      </w:pPr>
      <w:r>
        <w:rPr>
          <w:rFonts w:hint="eastAsia" w:ascii="Times New Roman" w:eastAsia="宋体"/>
          <w:szCs w:val="20"/>
        </w:rPr>
        <w:t>试验对象为电池单体。</w:t>
      </w:r>
    </w:p>
    <w:p>
      <w:pPr>
        <w:pStyle w:val="51"/>
        <w:spacing w:before="156" w:after="156"/>
        <w:ind w:left="0" w:firstLine="0"/>
        <w:rPr>
          <w:rFonts w:ascii="Times New Roman" w:eastAsia="宋体"/>
          <w:szCs w:val="20"/>
        </w:rPr>
      </w:pPr>
      <w:r>
        <w:rPr>
          <w:rFonts w:hint="eastAsia" w:ascii="Times New Roman" w:eastAsia="宋体"/>
          <w:szCs w:val="20"/>
        </w:rPr>
        <w:t>试验对象</w:t>
      </w:r>
      <w:r>
        <w:rPr>
          <w:rFonts w:ascii="Times New Roman" w:eastAsia="宋体"/>
          <w:szCs w:val="20"/>
        </w:rPr>
        <w:t>按</w:t>
      </w:r>
      <w:r>
        <w:rPr>
          <w:rFonts w:hint="eastAsia" w:ascii="Times New Roman" w:eastAsia="宋体"/>
          <w:szCs w:val="20"/>
        </w:rPr>
        <w:t>7</w:t>
      </w:r>
      <w:r>
        <w:rPr>
          <w:rFonts w:ascii="Times New Roman" w:eastAsia="宋体"/>
          <w:szCs w:val="20"/>
        </w:rPr>
        <w:t>.1</w:t>
      </w:r>
      <w:r>
        <w:rPr>
          <w:rFonts w:hint="eastAsia" w:ascii="Times New Roman" w:eastAsia="宋体"/>
          <w:szCs w:val="20"/>
        </w:rPr>
        <w:t>.1</w:t>
      </w:r>
      <w:r>
        <w:rPr>
          <w:rFonts w:ascii="Times New Roman" w:eastAsia="宋体"/>
          <w:szCs w:val="20"/>
        </w:rPr>
        <w:t>方法</w:t>
      </w:r>
      <w:r>
        <w:rPr>
          <w:rFonts w:hint="eastAsia" w:ascii="Times New Roman" w:eastAsia="宋体"/>
          <w:szCs w:val="20"/>
        </w:rPr>
        <w:t>充电</w:t>
      </w:r>
      <w:r>
        <w:rPr>
          <w:rFonts w:ascii="Times New Roman" w:eastAsia="宋体"/>
          <w:szCs w:val="20"/>
        </w:rPr>
        <w:t>。</w:t>
      </w:r>
    </w:p>
    <w:p>
      <w:pPr>
        <w:pStyle w:val="51"/>
        <w:spacing w:before="156" w:after="156"/>
        <w:ind w:left="0" w:firstLine="0"/>
        <w:rPr>
          <w:rFonts w:ascii="Times New Roman" w:eastAsia="宋体"/>
          <w:szCs w:val="20"/>
        </w:rPr>
      </w:pPr>
      <w:r>
        <w:rPr>
          <w:rFonts w:hint="eastAsia" w:ascii="Times New Roman" w:eastAsia="宋体"/>
          <w:szCs w:val="20"/>
        </w:rPr>
        <w:t>将试验对象正极端子和负极端子</w:t>
      </w:r>
      <w:r>
        <w:rPr>
          <w:rFonts w:ascii="Times New Roman" w:eastAsia="宋体"/>
          <w:szCs w:val="20"/>
        </w:rPr>
        <w:t>经外部短路10 min，外部线路电阻应小于5 mΩ。</w:t>
      </w:r>
    </w:p>
    <w:p>
      <w:pPr>
        <w:pStyle w:val="51"/>
        <w:spacing w:before="156" w:after="156"/>
        <w:ind w:left="0" w:firstLine="0"/>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，在试验环境温度下</w:t>
      </w:r>
      <w:r>
        <w:rPr>
          <w:rFonts w:ascii="Times New Roman" w:eastAsia="宋体"/>
          <w:szCs w:val="20"/>
        </w:rPr>
        <w:t>观察1 h。</w:t>
      </w:r>
    </w:p>
    <w:p>
      <w:pPr>
        <w:pStyle w:val="46"/>
        <w:spacing w:before="156" w:after="156"/>
        <w:ind w:left="2"/>
        <w:outlineLvl w:val="2"/>
        <w:rPr>
          <w:rFonts w:hAnsi="黑体"/>
        </w:rPr>
      </w:pPr>
      <w:bookmarkStart w:id="1039" w:name="_Toc452665680"/>
      <w:bookmarkStart w:id="1040" w:name="_Toc513232500"/>
      <w:bookmarkStart w:id="1041" w:name="_Toc513234351"/>
      <w:bookmarkStart w:id="1042" w:name="_Toc504059435"/>
      <w:r>
        <w:rPr>
          <w:rFonts w:hint="eastAsia" w:hAnsi="黑体"/>
        </w:rPr>
        <w:t>加热</w:t>
      </w:r>
      <w:bookmarkEnd w:id="1039"/>
      <w:bookmarkEnd w:id="1040"/>
      <w:bookmarkEnd w:id="1041"/>
      <w:bookmarkEnd w:id="1042"/>
    </w:p>
    <w:p>
      <w:pPr>
        <w:pStyle w:val="51"/>
        <w:spacing w:before="156" w:after="156"/>
        <w:ind w:left="0" w:firstLine="0"/>
        <w:jc w:val="both"/>
        <w:rPr>
          <w:rFonts w:ascii="Times New Roman" w:eastAsia="宋体"/>
          <w:szCs w:val="20"/>
        </w:rPr>
      </w:pPr>
      <w:r>
        <w:rPr>
          <w:rFonts w:hint="eastAsia" w:ascii="Times New Roman" w:eastAsia="宋体"/>
          <w:szCs w:val="20"/>
        </w:rPr>
        <w:t>试验对象为电池单体。</w:t>
      </w:r>
    </w:p>
    <w:p>
      <w:pPr>
        <w:pStyle w:val="51"/>
        <w:spacing w:before="156" w:after="156"/>
        <w:ind w:left="0" w:firstLine="0"/>
        <w:jc w:val="both"/>
        <w:rPr>
          <w:rFonts w:ascii="Times New Roman" w:eastAsia="宋体"/>
          <w:szCs w:val="20"/>
        </w:rPr>
      </w:pPr>
      <w:r>
        <w:rPr>
          <w:rFonts w:hint="eastAsia" w:ascii="Times New Roman" w:eastAsia="宋体"/>
          <w:szCs w:val="20"/>
        </w:rPr>
        <w:t>试验对象</w:t>
      </w:r>
      <w:r>
        <w:rPr>
          <w:rFonts w:ascii="Times New Roman" w:eastAsia="宋体"/>
          <w:szCs w:val="20"/>
        </w:rPr>
        <w:t>按</w:t>
      </w:r>
      <w:r>
        <w:rPr>
          <w:rFonts w:hint="eastAsia" w:ascii="Times New Roman" w:eastAsia="宋体"/>
          <w:szCs w:val="20"/>
        </w:rPr>
        <w:t>7</w:t>
      </w:r>
      <w:r>
        <w:rPr>
          <w:rFonts w:ascii="Times New Roman" w:eastAsia="宋体"/>
          <w:szCs w:val="20"/>
        </w:rPr>
        <w:t>.1</w:t>
      </w:r>
      <w:r>
        <w:rPr>
          <w:rFonts w:hint="eastAsia" w:ascii="Times New Roman" w:eastAsia="宋体"/>
          <w:szCs w:val="20"/>
        </w:rPr>
        <w:t>.1</w:t>
      </w:r>
      <w:r>
        <w:rPr>
          <w:rFonts w:ascii="Times New Roman" w:eastAsia="宋体"/>
          <w:szCs w:val="20"/>
        </w:rPr>
        <w:t>方法</w:t>
      </w:r>
      <w:r>
        <w:rPr>
          <w:rFonts w:hint="eastAsia" w:ascii="Times New Roman" w:eastAsia="宋体"/>
          <w:szCs w:val="20"/>
        </w:rPr>
        <w:t>充电</w:t>
      </w:r>
      <w:r>
        <w:rPr>
          <w:rFonts w:ascii="Times New Roman" w:eastAsia="宋体"/>
          <w:szCs w:val="20"/>
        </w:rPr>
        <w:t>。</w:t>
      </w:r>
    </w:p>
    <w:p>
      <w:pPr>
        <w:pStyle w:val="51"/>
        <w:spacing w:before="156" w:after="156"/>
        <w:ind w:left="0" w:firstLine="0"/>
        <w:rPr>
          <w:rFonts w:ascii="Times New Roman" w:eastAsia="宋体"/>
          <w:szCs w:val="20"/>
        </w:rPr>
      </w:pPr>
      <w:r>
        <w:rPr>
          <w:rFonts w:hint="eastAsia" w:ascii="Times New Roman" w:eastAsia="宋体"/>
          <w:szCs w:val="20"/>
        </w:rPr>
        <w:t>将试验对象</w:t>
      </w:r>
      <w:r>
        <w:rPr>
          <w:rFonts w:ascii="Times New Roman" w:eastAsia="宋体"/>
          <w:szCs w:val="20"/>
        </w:rPr>
        <w:t>放入温度箱，</w:t>
      </w:r>
      <w:r>
        <w:rPr>
          <w:rFonts w:hint="eastAsia" w:ascii="Times New Roman" w:eastAsia="宋体"/>
          <w:szCs w:val="20"/>
        </w:rPr>
        <w:t>对于镍氢电池单体以外的试验对象，温度箱按照5 ℃/min的速率由试验环境温度升至130 ℃，并保持此温度30 min后停止加热；对于镍氢电池单体，温度箱按照5 ℃/min的速率由试验环境温度升至85 ℃，并保持此温度2 h后停止加热。</w:t>
      </w:r>
    </w:p>
    <w:p>
      <w:pPr>
        <w:pStyle w:val="51"/>
        <w:spacing w:before="156" w:after="156"/>
        <w:ind w:left="0" w:firstLine="0"/>
        <w:jc w:val="both"/>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，在试验环境温度下</w:t>
      </w:r>
      <w:r>
        <w:rPr>
          <w:rFonts w:ascii="Times New Roman" w:eastAsia="宋体"/>
          <w:szCs w:val="20"/>
        </w:rPr>
        <w:t>观察1 h。</w:t>
      </w:r>
    </w:p>
    <w:p>
      <w:pPr>
        <w:pStyle w:val="46"/>
        <w:spacing w:before="156" w:after="156"/>
        <w:ind w:left="2"/>
        <w:outlineLvl w:val="2"/>
        <w:rPr>
          <w:rFonts w:hAnsi="黑体"/>
        </w:rPr>
      </w:pPr>
      <w:bookmarkStart w:id="1043" w:name="_Toc504059436"/>
      <w:bookmarkStart w:id="1044" w:name="_Toc513234352"/>
      <w:bookmarkStart w:id="1045" w:name="_Toc513232501"/>
      <w:r>
        <w:rPr>
          <w:rFonts w:hint="eastAsia" w:hAnsi="黑体"/>
        </w:rPr>
        <w:t>温度循环</w:t>
      </w:r>
      <w:bookmarkEnd w:id="1043"/>
      <w:bookmarkEnd w:id="1044"/>
      <w:bookmarkEnd w:id="1045"/>
    </w:p>
    <w:p>
      <w:pPr>
        <w:pStyle w:val="51"/>
        <w:spacing w:before="156" w:after="156"/>
        <w:ind w:left="0" w:firstLine="0"/>
        <w:rPr>
          <w:rFonts w:ascii="Times New Roman" w:eastAsia="宋体"/>
          <w:szCs w:val="20"/>
        </w:rPr>
      </w:pPr>
      <w:r>
        <w:rPr>
          <w:rFonts w:hint="eastAsia" w:ascii="Times New Roman" w:eastAsia="宋体"/>
          <w:szCs w:val="20"/>
        </w:rPr>
        <w:t>试验对象为电池单体。</w:t>
      </w:r>
    </w:p>
    <w:p>
      <w:pPr>
        <w:pStyle w:val="51"/>
        <w:spacing w:before="156" w:after="156"/>
        <w:ind w:left="0" w:firstLine="0"/>
        <w:rPr>
          <w:rFonts w:ascii="Times New Roman" w:eastAsia="宋体"/>
          <w:szCs w:val="20"/>
        </w:rPr>
      </w:pPr>
      <w:r>
        <w:rPr>
          <w:rFonts w:hint="eastAsia" w:ascii="Times New Roman" w:eastAsia="宋体"/>
          <w:szCs w:val="20"/>
        </w:rPr>
        <w:t>试验对象</w:t>
      </w:r>
      <w:r>
        <w:rPr>
          <w:rFonts w:ascii="Times New Roman" w:eastAsia="宋体"/>
          <w:szCs w:val="20"/>
        </w:rPr>
        <w:t>按</w:t>
      </w:r>
      <w:r>
        <w:rPr>
          <w:rFonts w:hint="eastAsia" w:ascii="Times New Roman" w:eastAsia="宋体"/>
          <w:szCs w:val="20"/>
        </w:rPr>
        <w:t>7</w:t>
      </w:r>
      <w:r>
        <w:rPr>
          <w:rFonts w:ascii="Times New Roman" w:eastAsia="宋体"/>
          <w:szCs w:val="20"/>
        </w:rPr>
        <w:t>.1</w:t>
      </w:r>
      <w:r>
        <w:rPr>
          <w:rFonts w:hint="eastAsia" w:ascii="Times New Roman" w:eastAsia="宋体"/>
          <w:szCs w:val="20"/>
        </w:rPr>
        <w:t>.1</w:t>
      </w:r>
      <w:r>
        <w:rPr>
          <w:rFonts w:ascii="Times New Roman" w:eastAsia="宋体"/>
          <w:szCs w:val="20"/>
        </w:rPr>
        <w:t>方法</w:t>
      </w:r>
      <w:r>
        <w:rPr>
          <w:rFonts w:hint="eastAsia" w:ascii="Times New Roman" w:eastAsia="宋体"/>
          <w:szCs w:val="20"/>
        </w:rPr>
        <w:t>充电</w:t>
      </w:r>
      <w:r>
        <w:rPr>
          <w:rFonts w:ascii="Times New Roman" w:eastAsia="宋体"/>
          <w:szCs w:val="20"/>
        </w:rPr>
        <w:t>。</w:t>
      </w:r>
    </w:p>
    <w:p>
      <w:pPr>
        <w:pStyle w:val="51"/>
        <w:spacing w:before="156" w:after="156"/>
        <w:ind w:left="0" w:firstLine="0"/>
        <w:rPr>
          <w:rFonts w:ascii="Times New Roman" w:eastAsia="宋体"/>
          <w:szCs w:val="20"/>
        </w:rPr>
      </w:pPr>
      <w:r>
        <w:rPr>
          <w:rFonts w:ascii="Times New Roman" w:eastAsia="宋体"/>
          <w:szCs w:val="20"/>
        </w:rPr>
        <w:t>放入温度箱中，温度箱温度按照表1和图1进行调节，循环次数5次。</w:t>
      </w:r>
    </w:p>
    <w:p>
      <w:pPr>
        <w:pStyle w:val="51"/>
        <w:spacing w:before="156" w:after="156"/>
        <w:ind w:left="0" w:firstLine="0"/>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，在试验环境温度下</w:t>
      </w:r>
      <w:r>
        <w:rPr>
          <w:rFonts w:ascii="Times New Roman" w:eastAsia="宋体"/>
          <w:szCs w:val="20"/>
        </w:rPr>
        <w:t>观察1 h。</w:t>
      </w:r>
    </w:p>
    <w:p>
      <w:pPr>
        <w:pStyle w:val="45"/>
        <w:numPr>
          <w:ilvl w:val="0"/>
          <w:numId w:val="0"/>
        </w:numPr>
        <w:spacing w:before="156" w:beforeLines="50" w:after="156" w:afterLines="50"/>
        <w:jc w:val="center"/>
        <w:rPr>
          <w:rFonts w:hAnsi="黑体"/>
        </w:rPr>
      </w:pPr>
      <w:bookmarkStart w:id="1046" w:name="_Toc511045375"/>
      <w:bookmarkStart w:id="1047" w:name="_Toc513234353"/>
      <w:bookmarkStart w:id="1048" w:name="_Toc504059437"/>
      <w:bookmarkStart w:id="1049" w:name="_Toc475194362"/>
      <w:bookmarkStart w:id="1050" w:name="_Toc477380608"/>
      <w:bookmarkStart w:id="1051" w:name="_Toc513232502"/>
      <w:bookmarkStart w:id="1052" w:name="_Toc510644239"/>
      <w:bookmarkStart w:id="1053" w:name="_Toc475375153"/>
      <w:bookmarkStart w:id="1054" w:name="_Toc468718295"/>
      <w:bookmarkStart w:id="1055" w:name="_Toc476948692"/>
      <w:bookmarkStart w:id="1056" w:name="_Toc467693343"/>
      <w:bookmarkStart w:id="1057" w:name="_Toc477465994"/>
      <w:bookmarkStart w:id="1058" w:name="_Toc501358501"/>
      <w:bookmarkStart w:id="1059" w:name="_Toc497749565"/>
      <w:bookmarkStart w:id="1060" w:name="_Toc478411958"/>
      <w:bookmarkStart w:id="1061" w:name="_Toc512347117"/>
      <w:bookmarkStart w:id="1062" w:name="_Toc478329023"/>
      <w:bookmarkStart w:id="1063" w:name="_Toc511831712"/>
      <w:bookmarkStart w:id="1064" w:name="_Toc477502371"/>
      <w:bookmarkStart w:id="1065" w:name="_Toc495431210"/>
      <w:bookmarkStart w:id="1066" w:name="_Toc512454265"/>
      <w:bookmarkStart w:id="1067" w:name="_Toc491440269"/>
      <w:r>
        <w:rPr>
          <w:rFonts w:hint="eastAsia" w:hAnsi="黑体"/>
        </w:rPr>
        <w:t>表</w:t>
      </w:r>
      <w:r>
        <w:rPr>
          <w:rFonts w:hAnsi="黑体"/>
        </w:rPr>
        <w:t xml:space="preserve">1 </w:t>
      </w:r>
      <w:r>
        <w:rPr>
          <w:rFonts w:hint="eastAsia" w:hAnsi="黑体"/>
        </w:rPr>
        <w:t>温度循环试验一个循环的温度和时间</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5"/>
        <w:gridCol w:w="2335"/>
        <w:gridCol w:w="2276"/>
        <w:gridCol w:w="2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20" w:type="pct"/>
            <w:shd w:val="clear" w:color="auto" w:fill="FFFFFF" w:themeFill="background1"/>
            <w:vAlign w:val="center"/>
          </w:tcPr>
          <w:p>
            <w:pPr>
              <w:pStyle w:val="23"/>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温度</w:t>
            </w:r>
          </w:p>
          <w:p>
            <w:pPr>
              <w:pStyle w:val="23"/>
              <w:ind w:firstLine="0" w:firstLineChars="0"/>
              <w:jc w:val="center"/>
              <w:rPr>
                <w:rFonts w:asciiTheme="minorEastAsia" w:hAnsiTheme="minorEastAsia" w:eastAsiaTheme="minorEastAsia"/>
                <w:sz w:val="18"/>
                <w:szCs w:val="18"/>
              </w:rPr>
            </w:pPr>
            <w:r>
              <w:rPr>
                <w:rFonts w:hint="eastAsia" w:cs="宋体" w:asciiTheme="minorEastAsia" w:hAnsiTheme="minorEastAsia" w:eastAsiaTheme="minorEastAsia"/>
                <w:sz w:val="18"/>
                <w:szCs w:val="18"/>
              </w:rPr>
              <w:t>℃</w:t>
            </w:r>
          </w:p>
        </w:tc>
        <w:tc>
          <w:tcPr>
            <w:tcW w:w="1220" w:type="pct"/>
            <w:shd w:val="clear" w:color="auto" w:fill="FFFFFF" w:themeFill="background1"/>
            <w:vAlign w:val="center"/>
          </w:tcPr>
          <w:p>
            <w:pPr>
              <w:pStyle w:val="23"/>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时间增量</w:t>
            </w:r>
          </w:p>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min</w:t>
            </w:r>
          </w:p>
        </w:tc>
        <w:tc>
          <w:tcPr>
            <w:tcW w:w="1189" w:type="pct"/>
            <w:shd w:val="clear" w:color="auto" w:fill="FFFFFF" w:themeFill="background1"/>
            <w:vAlign w:val="center"/>
          </w:tcPr>
          <w:p>
            <w:pPr>
              <w:pStyle w:val="23"/>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累计时间</w:t>
            </w:r>
          </w:p>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min</w:t>
            </w:r>
          </w:p>
        </w:tc>
        <w:tc>
          <w:tcPr>
            <w:tcW w:w="1371" w:type="pct"/>
            <w:shd w:val="clear" w:color="auto" w:fill="FFFFFF" w:themeFill="background1"/>
            <w:vAlign w:val="center"/>
          </w:tcPr>
          <w:p>
            <w:pPr>
              <w:pStyle w:val="23"/>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温度变化率</w:t>
            </w:r>
          </w:p>
          <w:p>
            <w:pPr>
              <w:pStyle w:val="23"/>
              <w:ind w:firstLine="0" w:firstLineChars="0"/>
              <w:jc w:val="center"/>
              <w:rPr>
                <w:rFonts w:asciiTheme="minorEastAsia" w:hAnsiTheme="minorEastAsia" w:eastAsiaTheme="minorEastAsia"/>
                <w:sz w:val="18"/>
                <w:szCs w:val="18"/>
              </w:rPr>
            </w:pPr>
            <w:r>
              <w:rPr>
                <w:rFonts w:cs="宋体" w:asciiTheme="minorEastAsia" w:hAnsiTheme="minorEastAsia" w:eastAsiaTheme="minorEastAsia"/>
                <w:sz w:val="18"/>
                <w:szCs w:val="18"/>
              </w:rPr>
              <w:t>℃</w:t>
            </w:r>
            <w:r>
              <w:rPr>
                <w:rFonts w:asciiTheme="minorEastAsia" w:hAnsiTheme="minorEastAsia" w:eastAsiaTheme="minorEastAsia"/>
                <w:sz w:val="18"/>
                <w:szCs w:val="18"/>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25</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-40</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60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60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-40</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90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150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25</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60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210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85</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90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300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85</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110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410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25</w:t>
            </w:r>
          </w:p>
        </w:tc>
        <w:tc>
          <w:tcPr>
            <w:tcW w:w="1220"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70</w:t>
            </w:r>
          </w:p>
        </w:tc>
        <w:tc>
          <w:tcPr>
            <w:tcW w:w="1189"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480</w:t>
            </w:r>
          </w:p>
        </w:tc>
        <w:tc>
          <w:tcPr>
            <w:tcW w:w="1371" w:type="pct"/>
            <w:shd w:val="clear" w:color="auto" w:fill="auto"/>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6/7</w:t>
            </w:r>
          </w:p>
        </w:tc>
      </w:tr>
    </w:tbl>
    <w:p>
      <w:pPr>
        <w:pStyle w:val="23"/>
        <w:spacing w:before="312" w:beforeLines="100"/>
        <w:ind w:firstLine="0" w:firstLineChars="0"/>
        <w:jc w:val="center"/>
      </w:pPr>
      <w:r>
        <w:drawing>
          <wp:inline distT="0" distB="0" distL="0" distR="0">
            <wp:extent cx="3361055" cy="2015490"/>
            <wp:effectExtent l="0" t="0" r="0" b="38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361554" cy="2016000"/>
                    </a:xfrm>
                    <a:prstGeom prst="rect">
                      <a:avLst/>
                    </a:prstGeom>
                    <a:noFill/>
                  </pic:spPr>
                </pic:pic>
              </a:graphicData>
            </a:graphic>
          </wp:inline>
        </w:drawing>
      </w:r>
    </w:p>
    <w:p>
      <w:pPr>
        <w:pStyle w:val="45"/>
        <w:numPr>
          <w:ilvl w:val="0"/>
          <w:numId w:val="0"/>
        </w:numPr>
        <w:spacing w:before="156" w:beforeLines="50" w:after="156" w:afterLines="50"/>
        <w:jc w:val="center"/>
        <w:rPr>
          <w:rFonts w:hAnsi="黑体"/>
        </w:rPr>
      </w:pPr>
      <w:bookmarkStart w:id="1068" w:name="_Toc513234354"/>
      <w:bookmarkStart w:id="1069" w:name="_Toc491440270"/>
      <w:bookmarkStart w:id="1070" w:name="_Toc512454266"/>
      <w:bookmarkStart w:id="1071" w:name="_Toc497749566"/>
      <w:bookmarkStart w:id="1072" w:name="_Toc511045376"/>
      <w:bookmarkStart w:id="1073" w:name="_Toc475194364"/>
      <w:bookmarkStart w:id="1074" w:name="_Toc468718297"/>
      <w:bookmarkStart w:id="1075" w:name="_Toc504059438"/>
      <w:bookmarkStart w:id="1076" w:name="_Toc501358502"/>
      <w:bookmarkStart w:id="1077" w:name="_Toc477380609"/>
      <w:bookmarkStart w:id="1078" w:name="_Toc513232503"/>
      <w:bookmarkStart w:id="1079" w:name="_Toc511831713"/>
      <w:bookmarkStart w:id="1080" w:name="_Toc467693345"/>
      <w:bookmarkStart w:id="1081" w:name="_Toc510644240"/>
      <w:bookmarkStart w:id="1082" w:name="_Toc477465995"/>
      <w:bookmarkStart w:id="1083" w:name="_Toc475375155"/>
      <w:bookmarkStart w:id="1084" w:name="_Toc495431211"/>
      <w:bookmarkStart w:id="1085" w:name="_Toc478329024"/>
      <w:bookmarkStart w:id="1086" w:name="_Toc478411959"/>
      <w:bookmarkStart w:id="1087" w:name="_Toc512347118"/>
      <w:bookmarkStart w:id="1088" w:name="_Toc476948694"/>
      <w:bookmarkStart w:id="1089" w:name="_Toc477502372"/>
      <w:r>
        <w:rPr>
          <w:rFonts w:hint="eastAsia" w:hAnsi="黑体"/>
        </w:rPr>
        <w:t>图</w:t>
      </w:r>
      <w:r>
        <w:rPr>
          <w:rFonts w:hAnsi="黑体"/>
        </w:rPr>
        <w:t xml:space="preserve">1 </w:t>
      </w:r>
      <w:r>
        <w:rPr>
          <w:rFonts w:hint="eastAsia" w:hAnsi="黑体"/>
        </w:rPr>
        <w:t>温度循环试验示意图</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46"/>
        <w:spacing w:before="156" w:after="156"/>
        <w:ind w:left="2"/>
        <w:outlineLvl w:val="2"/>
        <w:rPr>
          <w:rFonts w:hAnsi="黑体"/>
        </w:rPr>
      </w:pPr>
      <w:bookmarkStart w:id="1090" w:name="_Toc513234355"/>
      <w:bookmarkStart w:id="1091" w:name="_Toc504059439"/>
      <w:bookmarkStart w:id="1092" w:name="_Toc452665681"/>
      <w:bookmarkStart w:id="1093" w:name="_Toc513232504"/>
      <w:r>
        <w:rPr>
          <w:rFonts w:hint="eastAsia" w:hAnsi="黑体"/>
        </w:rPr>
        <w:t>挤压</w:t>
      </w:r>
      <w:bookmarkEnd w:id="1090"/>
      <w:bookmarkEnd w:id="1091"/>
      <w:bookmarkEnd w:id="1092"/>
      <w:bookmarkEnd w:id="1093"/>
    </w:p>
    <w:p>
      <w:pPr>
        <w:pStyle w:val="51"/>
        <w:spacing w:before="156" w:after="156"/>
        <w:ind w:left="0" w:firstLine="0"/>
        <w:jc w:val="both"/>
        <w:rPr>
          <w:rFonts w:ascii="Times New Roman" w:eastAsia="宋体"/>
          <w:szCs w:val="20"/>
        </w:rPr>
      </w:pPr>
      <w:r>
        <w:rPr>
          <w:rFonts w:hint="eastAsia" w:ascii="Times New Roman" w:eastAsia="宋体"/>
          <w:szCs w:val="20"/>
        </w:rPr>
        <w:t>试验对象为电池单体。</w:t>
      </w:r>
    </w:p>
    <w:p>
      <w:pPr>
        <w:pStyle w:val="51"/>
        <w:spacing w:before="156" w:after="156"/>
        <w:ind w:left="0" w:firstLine="0"/>
        <w:jc w:val="both"/>
        <w:rPr>
          <w:rFonts w:ascii="Times New Roman" w:eastAsia="宋体"/>
          <w:szCs w:val="20"/>
        </w:rPr>
      </w:pPr>
      <w:r>
        <w:rPr>
          <w:rFonts w:hint="eastAsia" w:ascii="Times New Roman" w:eastAsia="宋体"/>
          <w:szCs w:val="20"/>
        </w:rPr>
        <w:t>试验对象</w:t>
      </w:r>
      <w:r>
        <w:rPr>
          <w:rFonts w:ascii="Times New Roman" w:eastAsia="宋体"/>
          <w:szCs w:val="20"/>
        </w:rPr>
        <w:t>按</w:t>
      </w:r>
      <w:r>
        <w:rPr>
          <w:rFonts w:hint="eastAsia" w:ascii="Times New Roman" w:eastAsia="宋体"/>
          <w:szCs w:val="20"/>
        </w:rPr>
        <w:t>7</w:t>
      </w:r>
      <w:r>
        <w:rPr>
          <w:rFonts w:ascii="Times New Roman" w:eastAsia="宋体"/>
          <w:szCs w:val="20"/>
        </w:rPr>
        <w:t>.1</w:t>
      </w:r>
      <w:r>
        <w:rPr>
          <w:rFonts w:hint="eastAsia" w:ascii="Times New Roman" w:eastAsia="宋体"/>
          <w:szCs w:val="20"/>
        </w:rPr>
        <w:t>.1</w:t>
      </w:r>
      <w:r>
        <w:rPr>
          <w:rFonts w:ascii="Times New Roman" w:eastAsia="宋体"/>
          <w:szCs w:val="20"/>
        </w:rPr>
        <w:t>方法</w:t>
      </w:r>
      <w:r>
        <w:rPr>
          <w:rFonts w:hint="eastAsia" w:ascii="Times New Roman" w:eastAsia="宋体"/>
          <w:szCs w:val="20"/>
        </w:rPr>
        <w:t>充电</w:t>
      </w:r>
      <w:r>
        <w:rPr>
          <w:rFonts w:ascii="Times New Roman" w:eastAsia="宋体"/>
          <w:szCs w:val="20"/>
        </w:rPr>
        <w:t>。</w:t>
      </w:r>
    </w:p>
    <w:p>
      <w:pPr>
        <w:pStyle w:val="51"/>
        <w:spacing w:before="156" w:after="156"/>
        <w:ind w:left="0" w:firstLine="0"/>
        <w:jc w:val="both"/>
        <w:rPr>
          <w:rFonts w:ascii="Times New Roman" w:eastAsia="宋体"/>
          <w:szCs w:val="20"/>
        </w:rPr>
      </w:pPr>
      <w:r>
        <w:rPr>
          <w:rFonts w:ascii="Times New Roman" w:eastAsia="宋体"/>
          <w:szCs w:val="20"/>
        </w:rPr>
        <w:t>按下列条件进行试验：</w:t>
      </w:r>
    </w:p>
    <w:p>
      <w:pPr>
        <w:pStyle w:val="51"/>
        <w:numPr>
          <w:ilvl w:val="0"/>
          <w:numId w:val="16"/>
        </w:numPr>
        <w:spacing w:before="0" w:beforeLines="0" w:after="0" w:afterLines="0"/>
        <w:jc w:val="both"/>
        <w:rPr>
          <w:rFonts w:ascii="Times New Roman" w:eastAsia="宋体"/>
        </w:rPr>
      </w:pPr>
      <w:r>
        <w:rPr>
          <w:rFonts w:hint="eastAsia" w:ascii="Times New Roman" w:eastAsia="宋体"/>
          <w:szCs w:val="20"/>
        </w:rPr>
        <w:t>挤压方向：垂直于电池单体极板方向施压，或与电池单体在整车布局上最容易受到挤压的方向相同；</w:t>
      </w:r>
    </w:p>
    <w:p>
      <w:pPr>
        <w:pStyle w:val="51"/>
        <w:numPr>
          <w:ilvl w:val="0"/>
          <w:numId w:val="16"/>
        </w:numPr>
        <w:spacing w:before="0" w:beforeLines="0" w:after="0" w:afterLines="0"/>
        <w:jc w:val="both"/>
        <w:rPr>
          <w:rFonts w:ascii="Times New Roman" w:eastAsia="宋体"/>
        </w:rPr>
      </w:pPr>
      <w:r>
        <w:rPr>
          <w:rFonts w:hint="eastAsia" w:ascii="Times New Roman" w:eastAsia="宋体"/>
          <w:szCs w:val="20"/>
        </w:rPr>
        <w:t>挤压板形式：半径</w:t>
      </w:r>
      <w:r>
        <w:rPr>
          <w:rFonts w:ascii="Times New Roman" w:eastAsia="宋体"/>
          <w:szCs w:val="20"/>
        </w:rPr>
        <w:t>75 mm</w:t>
      </w:r>
      <w:r>
        <w:rPr>
          <w:rFonts w:hint="eastAsia" w:ascii="Times New Roman" w:eastAsia="宋体"/>
          <w:szCs w:val="20"/>
        </w:rPr>
        <w:t>的半圆柱体，半圆柱体的长度（</w:t>
      </w:r>
      <w:r>
        <w:rPr>
          <w:rFonts w:ascii="Times New Roman" w:eastAsia="宋体"/>
          <w:szCs w:val="20"/>
        </w:rPr>
        <w:t>L</w:t>
      </w:r>
      <w:r>
        <w:rPr>
          <w:rFonts w:hint="eastAsia" w:ascii="Times New Roman" w:eastAsia="宋体"/>
          <w:szCs w:val="20"/>
        </w:rPr>
        <w:t>）大于被挤压电池单体的尺寸（如图6所示）；</w:t>
      </w:r>
    </w:p>
    <w:p>
      <w:pPr>
        <w:pStyle w:val="51"/>
        <w:numPr>
          <w:ilvl w:val="0"/>
          <w:numId w:val="16"/>
        </w:numPr>
        <w:spacing w:before="0" w:beforeLines="0" w:after="0" w:afterLines="0"/>
        <w:jc w:val="both"/>
        <w:rPr>
          <w:rFonts w:ascii="Times New Roman" w:eastAsia="宋体"/>
        </w:rPr>
      </w:pPr>
      <w:r>
        <w:rPr>
          <w:rFonts w:hint="eastAsia" w:ascii="Times New Roman" w:eastAsia="宋体"/>
          <w:szCs w:val="20"/>
        </w:rPr>
        <w:t>挤压速度：不大于</w:t>
      </w:r>
      <w:r>
        <w:rPr>
          <w:rFonts w:ascii="Times New Roman" w:eastAsia="宋体"/>
          <w:szCs w:val="20"/>
        </w:rPr>
        <w:t>2 mm/s</w:t>
      </w:r>
      <w:r>
        <w:rPr>
          <w:rFonts w:hint="eastAsia" w:ascii="Times New Roman" w:eastAsia="宋体"/>
          <w:szCs w:val="20"/>
        </w:rPr>
        <w:t>；</w:t>
      </w:r>
    </w:p>
    <w:p>
      <w:pPr>
        <w:pStyle w:val="51"/>
        <w:numPr>
          <w:ilvl w:val="0"/>
          <w:numId w:val="16"/>
        </w:numPr>
        <w:spacing w:before="0" w:beforeLines="0" w:after="0" w:afterLines="0"/>
        <w:jc w:val="both"/>
        <w:rPr>
          <w:rFonts w:ascii="Times New Roman" w:eastAsia="宋体"/>
        </w:rPr>
      </w:pPr>
      <w:bookmarkStart w:id="1094" w:name="_Toc452656391"/>
      <w:r>
        <w:rPr>
          <w:rFonts w:hint="eastAsia" w:ascii="Times New Roman" w:eastAsia="宋体"/>
          <w:szCs w:val="20"/>
        </w:rPr>
        <w:t>挤压程度：电压达到</w:t>
      </w:r>
      <w:r>
        <w:rPr>
          <w:rFonts w:ascii="Times New Roman" w:eastAsia="宋体"/>
          <w:szCs w:val="20"/>
        </w:rPr>
        <w:t>0 V</w:t>
      </w:r>
      <w:r>
        <w:rPr>
          <w:rFonts w:hint="eastAsia" w:ascii="Times New Roman" w:eastAsia="宋体"/>
          <w:szCs w:val="20"/>
        </w:rPr>
        <w:t>或变形量达到</w:t>
      </w:r>
      <w:r>
        <w:rPr>
          <w:rFonts w:ascii="Times New Roman" w:eastAsia="宋体"/>
          <w:szCs w:val="20"/>
        </w:rPr>
        <w:t>15%</w:t>
      </w:r>
      <w:r>
        <w:rPr>
          <w:rFonts w:hint="eastAsia" w:ascii="Times New Roman" w:eastAsia="宋体"/>
          <w:szCs w:val="20"/>
        </w:rPr>
        <w:t>或挤压力达到</w:t>
      </w:r>
      <w:r>
        <w:rPr>
          <w:rFonts w:ascii="Times New Roman" w:eastAsia="宋体"/>
          <w:szCs w:val="20"/>
        </w:rPr>
        <w:t>100 kN</w:t>
      </w:r>
      <w:r>
        <w:rPr>
          <w:rFonts w:hint="eastAsia" w:ascii="Times New Roman" w:eastAsia="宋体"/>
          <w:szCs w:val="20"/>
        </w:rPr>
        <w:t>或</w:t>
      </w:r>
      <w:r>
        <w:rPr>
          <w:rFonts w:ascii="Times New Roman" w:eastAsia="宋体"/>
          <w:szCs w:val="20"/>
        </w:rPr>
        <w:t>1000</w:t>
      </w:r>
      <w:r>
        <w:rPr>
          <w:rFonts w:hint="eastAsia" w:ascii="Times New Roman" w:eastAsia="宋体"/>
          <w:szCs w:val="20"/>
        </w:rPr>
        <w:t>倍试验对象重量后停止挤压</w:t>
      </w:r>
      <w:bookmarkEnd w:id="1094"/>
      <w:bookmarkStart w:id="1095" w:name="_Toc452656392"/>
      <w:r>
        <w:rPr>
          <w:rFonts w:hint="eastAsia" w:ascii="Times New Roman" w:eastAsia="宋体"/>
          <w:szCs w:val="20"/>
        </w:rPr>
        <w:t>；</w:t>
      </w:r>
    </w:p>
    <w:p>
      <w:pPr>
        <w:pStyle w:val="51"/>
        <w:numPr>
          <w:ilvl w:val="0"/>
          <w:numId w:val="16"/>
        </w:numPr>
        <w:spacing w:before="0" w:beforeLines="0" w:after="0" w:afterLines="0"/>
        <w:jc w:val="both"/>
        <w:rPr>
          <w:rFonts w:ascii="Times New Roman" w:eastAsia="宋体"/>
        </w:rPr>
      </w:pPr>
      <w:r>
        <w:rPr>
          <w:rFonts w:hint="eastAsia" w:ascii="Times New Roman" w:eastAsia="宋体"/>
          <w:szCs w:val="20"/>
        </w:rPr>
        <w:t>保持当前位移</w:t>
      </w:r>
      <w:r>
        <w:rPr>
          <w:rFonts w:ascii="Times New Roman" w:eastAsia="宋体"/>
          <w:szCs w:val="20"/>
        </w:rPr>
        <w:t>10 min</w:t>
      </w:r>
      <w:r>
        <w:rPr>
          <w:rFonts w:hint="eastAsia" w:ascii="Times New Roman" w:eastAsia="宋体"/>
          <w:szCs w:val="20"/>
        </w:rPr>
        <w:t>。</w:t>
      </w:r>
    </w:p>
    <w:p>
      <w:pPr>
        <w:pStyle w:val="51"/>
        <w:spacing w:before="156" w:after="156"/>
        <w:ind w:left="0" w:firstLine="0"/>
        <w:jc w:val="both"/>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，在试验环境温度下</w:t>
      </w:r>
      <w:r>
        <w:rPr>
          <w:rFonts w:ascii="Times New Roman" w:eastAsia="宋体"/>
          <w:szCs w:val="20"/>
        </w:rPr>
        <w:t>观察1 h。</w:t>
      </w:r>
      <w:bookmarkEnd w:id="1095"/>
    </w:p>
    <w:p>
      <w:pPr>
        <w:pStyle w:val="46"/>
        <w:spacing w:before="156" w:after="156"/>
        <w:ind w:left="2"/>
        <w:outlineLvl w:val="2"/>
        <w:rPr>
          <w:rFonts w:hAnsi="黑体"/>
        </w:rPr>
      </w:pPr>
      <w:bookmarkStart w:id="1096" w:name="_Toc513234356"/>
      <w:r>
        <w:rPr>
          <w:rFonts w:hint="eastAsia" w:hAnsi="黑体"/>
        </w:rPr>
        <w:t>快充循环后安全</w:t>
      </w:r>
    </w:p>
    <w:p>
      <w:pPr>
        <w:pStyle w:val="51"/>
        <w:spacing w:before="156" w:after="156"/>
        <w:ind w:left="0" w:firstLine="0"/>
        <w:jc w:val="both"/>
        <w:rPr>
          <w:rFonts w:ascii="Times New Roman" w:eastAsia="宋体"/>
          <w:szCs w:val="20"/>
        </w:rPr>
      </w:pPr>
      <w:r>
        <w:rPr>
          <w:rFonts w:hint="eastAsia" w:ascii="Times New Roman" w:eastAsia="宋体"/>
          <w:szCs w:val="20"/>
        </w:rPr>
        <w:t>试验对象为从20%</w:t>
      </w:r>
      <w:r>
        <w:rPr>
          <w:rFonts w:ascii="Times New Roman" w:eastAsia="宋体"/>
          <w:szCs w:val="20"/>
        </w:rPr>
        <w:t xml:space="preserve"> </w:t>
      </w:r>
      <w:r>
        <w:rPr>
          <w:rFonts w:hint="eastAsia" w:ascii="Times New Roman" w:eastAsia="宋体"/>
          <w:szCs w:val="20"/>
        </w:rPr>
        <w:t>SOC充电至80%</w:t>
      </w:r>
      <w:r>
        <w:rPr>
          <w:rFonts w:ascii="Times New Roman" w:eastAsia="宋体"/>
          <w:szCs w:val="20"/>
        </w:rPr>
        <w:t xml:space="preserve"> </w:t>
      </w:r>
      <w:r>
        <w:rPr>
          <w:rFonts w:hint="eastAsia" w:ascii="Times New Roman" w:eastAsia="宋体"/>
          <w:szCs w:val="20"/>
        </w:rPr>
        <w:t>SOC，总充电时间不超过15</w:t>
      </w:r>
      <w:r>
        <w:rPr>
          <w:rFonts w:ascii="Times New Roman" w:eastAsia="宋体"/>
          <w:szCs w:val="20"/>
        </w:rPr>
        <w:t xml:space="preserve"> </w:t>
      </w:r>
      <w:r>
        <w:rPr>
          <w:rFonts w:hint="eastAsia" w:ascii="Times New Roman" w:eastAsia="宋体"/>
          <w:szCs w:val="20"/>
        </w:rPr>
        <w:t>min的电池单体（不含用于不可外接充电混合动力电动汽车的电池单体）。</w:t>
      </w:r>
    </w:p>
    <w:p>
      <w:pPr>
        <w:pStyle w:val="51"/>
        <w:spacing w:before="156" w:after="156"/>
        <w:ind w:left="0" w:firstLine="0"/>
        <w:jc w:val="both"/>
        <w:rPr>
          <w:rFonts w:ascii="Times New Roman" w:eastAsia="宋体"/>
          <w:szCs w:val="20"/>
        </w:rPr>
      </w:pPr>
      <w:r>
        <w:rPr>
          <w:rFonts w:ascii="Times New Roman" w:eastAsia="宋体"/>
          <w:szCs w:val="20"/>
        </w:rPr>
        <w:t>按下列条件进行试验：</w:t>
      </w:r>
    </w:p>
    <w:p>
      <w:pPr>
        <w:pStyle w:val="51"/>
        <w:numPr>
          <w:ilvl w:val="0"/>
          <w:numId w:val="17"/>
        </w:numPr>
        <w:spacing w:before="0" w:beforeLines="0" w:after="0" w:afterLines="0"/>
        <w:jc w:val="both"/>
        <w:rPr>
          <w:rFonts w:ascii="Times New Roman"/>
          <w:szCs w:val="20"/>
        </w:rPr>
      </w:pPr>
      <w:r>
        <w:rPr>
          <w:rFonts w:hint="eastAsia" w:ascii="Times New Roman" w:eastAsia="宋体"/>
          <w:szCs w:val="20"/>
        </w:rPr>
        <w:t>按照6.1.7提供的方法调整SOC至20%；</w:t>
      </w:r>
    </w:p>
    <w:p>
      <w:pPr>
        <w:pStyle w:val="51"/>
        <w:numPr>
          <w:ilvl w:val="0"/>
          <w:numId w:val="17"/>
        </w:numPr>
        <w:spacing w:before="0" w:beforeLines="0" w:after="0" w:afterLines="0"/>
        <w:jc w:val="both"/>
        <w:rPr>
          <w:rFonts w:ascii="Times New Roman"/>
          <w:szCs w:val="20"/>
        </w:rPr>
      </w:pPr>
      <w:r>
        <w:rPr>
          <w:rFonts w:hint="eastAsia" w:ascii="Times New Roman" w:eastAsia="宋体"/>
          <w:szCs w:val="20"/>
        </w:rPr>
        <w:t>按照制造商提供的充电工况充电至80%</w:t>
      </w:r>
      <w:r>
        <w:rPr>
          <w:rFonts w:ascii="Times New Roman" w:eastAsia="宋体"/>
          <w:szCs w:val="20"/>
        </w:rPr>
        <w:t xml:space="preserve"> </w:t>
      </w:r>
      <w:r>
        <w:rPr>
          <w:rFonts w:hint="eastAsia" w:ascii="Times New Roman" w:eastAsia="宋体"/>
          <w:szCs w:val="20"/>
        </w:rPr>
        <w:t>SOC，充电时间不超过15</w:t>
      </w:r>
      <w:r>
        <w:rPr>
          <w:rFonts w:ascii="Times New Roman" w:eastAsia="宋体"/>
          <w:szCs w:val="20"/>
        </w:rPr>
        <w:t xml:space="preserve"> </w:t>
      </w:r>
      <w:r>
        <w:rPr>
          <w:rFonts w:hint="eastAsia" w:ascii="Times New Roman" w:eastAsia="宋体"/>
          <w:szCs w:val="20"/>
        </w:rPr>
        <w:t>min；</w:t>
      </w:r>
    </w:p>
    <w:p>
      <w:pPr>
        <w:pStyle w:val="51"/>
        <w:numPr>
          <w:ilvl w:val="0"/>
          <w:numId w:val="17"/>
        </w:numPr>
        <w:spacing w:before="0" w:beforeLines="0" w:after="0" w:afterLines="0"/>
        <w:jc w:val="both"/>
        <w:rPr>
          <w:rFonts w:ascii="Times New Roman"/>
          <w:szCs w:val="20"/>
        </w:rPr>
      </w:pPr>
      <w:r>
        <w:rPr>
          <w:rFonts w:hint="eastAsia" w:ascii="Times New Roman" w:eastAsia="宋体"/>
          <w:szCs w:val="20"/>
        </w:rPr>
        <w:t>搁置不低于</w:t>
      </w:r>
      <w:r>
        <w:rPr>
          <w:rFonts w:ascii="Times New Roman" w:eastAsia="宋体"/>
          <w:szCs w:val="20"/>
        </w:rPr>
        <w:t>30min</w:t>
      </w:r>
      <w:r>
        <w:rPr>
          <w:rFonts w:hint="eastAsia" w:ascii="Times New Roman" w:eastAsia="宋体"/>
          <w:szCs w:val="20"/>
        </w:rPr>
        <w:t>或按照制造商规定的搁置条件搁置；</w:t>
      </w:r>
    </w:p>
    <w:p>
      <w:pPr>
        <w:pStyle w:val="51"/>
        <w:numPr>
          <w:ilvl w:val="0"/>
          <w:numId w:val="17"/>
        </w:numPr>
        <w:spacing w:before="0" w:beforeLines="0" w:after="0" w:afterLines="0"/>
        <w:jc w:val="both"/>
        <w:rPr>
          <w:rFonts w:ascii="Times New Roman"/>
          <w:szCs w:val="20"/>
        </w:rPr>
      </w:pPr>
      <w:r>
        <w:rPr>
          <w:rFonts w:hint="eastAsia" w:ascii="Times New Roman" w:eastAsia="宋体"/>
          <w:szCs w:val="20"/>
        </w:rPr>
        <w:t>重</w:t>
      </w:r>
      <w:r>
        <w:rPr>
          <w:rFonts w:hint="default" w:ascii="Times New Roman" w:hAnsi="Times New Roman" w:eastAsia="宋体" w:cs="Times New Roman"/>
          <w:szCs w:val="20"/>
        </w:rPr>
        <w:t>复a）~c）</w:t>
      </w:r>
      <w:r>
        <w:rPr>
          <w:rFonts w:hint="eastAsia" w:ascii="Times New Roman" w:eastAsia="宋体"/>
          <w:szCs w:val="20"/>
        </w:rPr>
        <w:t>步骤</w:t>
      </w:r>
      <w:r>
        <w:rPr>
          <w:rFonts w:ascii="Times New Roman" w:eastAsia="宋体"/>
          <w:szCs w:val="20"/>
        </w:rPr>
        <w:t>300</w:t>
      </w:r>
      <w:r>
        <w:rPr>
          <w:rFonts w:hint="eastAsia" w:ascii="Times New Roman" w:eastAsia="宋体"/>
          <w:szCs w:val="20"/>
        </w:rPr>
        <w:t>次；</w:t>
      </w:r>
    </w:p>
    <w:p>
      <w:pPr>
        <w:pStyle w:val="51"/>
        <w:numPr>
          <w:ilvl w:val="0"/>
          <w:numId w:val="17"/>
        </w:numPr>
        <w:spacing w:before="0" w:beforeLines="0" w:after="0" w:afterLines="0"/>
        <w:jc w:val="both"/>
        <w:rPr>
          <w:rFonts w:ascii="Times New Roman"/>
          <w:szCs w:val="20"/>
        </w:rPr>
      </w:pPr>
      <w:r>
        <w:rPr>
          <w:rFonts w:hint="eastAsia" w:ascii="Times New Roman" w:eastAsia="宋体"/>
          <w:szCs w:val="20"/>
        </w:rPr>
        <w:t>按</w:t>
      </w:r>
      <w:r>
        <w:rPr>
          <w:rFonts w:hint="eastAsia" w:ascii="Times New Roman" w:eastAsia="宋体"/>
          <w:szCs w:val="20"/>
          <w:lang w:val="en-US" w:eastAsia="zh-CN"/>
        </w:rPr>
        <w:t>照</w:t>
      </w:r>
      <w:r>
        <w:rPr>
          <w:rFonts w:ascii="Times New Roman" w:eastAsia="宋体"/>
          <w:szCs w:val="20"/>
        </w:rPr>
        <w:t>8.1.</w:t>
      </w:r>
      <w:r>
        <w:rPr>
          <w:rFonts w:hint="eastAsia" w:ascii="Times New Roman" w:eastAsia="宋体"/>
          <w:szCs w:val="20"/>
        </w:rPr>
        <w:t>4进行外部短路试验。</w:t>
      </w:r>
    </w:p>
    <w:p>
      <w:pPr>
        <w:pStyle w:val="42"/>
        <w:spacing w:before="156" w:after="156"/>
        <w:ind w:left="0"/>
        <w:rPr>
          <w:rFonts w:hAnsi="黑体"/>
        </w:rPr>
      </w:pPr>
      <w:r>
        <w:rPr>
          <w:rFonts w:hint="eastAsia" w:hAnsi="黑体"/>
        </w:rPr>
        <w:t>电池包或系统安全性试验方法</w:t>
      </w:r>
      <w:bookmarkEnd w:id="1096"/>
    </w:p>
    <w:p>
      <w:pPr>
        <w:pStyle w:val="46"/>
        <w:spacing w:before="156" w:after="156"/>
        <w:ind w:left="2"/>
        <w:outlineLvl w:val="2"/>
        <w:rPr>
          <w:rFonts w:hAnsi="黑体"/>
        </w:rPr>
      </w:pPr>
      <w:bookmarkStart w:id="1097" w:name="_Toc513234357"/>
      <w:bookmarkStart w:id="1098" w:name="_Toc513232506"/>
      <w:bookmarkStart w:id="1099" w:name="_Toc504059441"/>
      <w:r>
        <w:rPr>
          <w:rFonts w:hint="eastAsia" w:hAnsi="黑体"/>
        </w:rPr>
        <w:t>振动</w:t>
      </w:r>
      <w:bookmarkEnd w:id="1097"/>
      <w:bookmarkEnd w:id="1098"/>
      <w:bookmarkEnd w:id="1099"/>
    </w:p>
    <w:p>
      <w:pPr>
        <w:pStyle w:val="51"/>
        <w:spacing w:before="156" w:after="156"/>
        <w:ind w:left="0" w:firstLine="0"/>
        <w:jc w:val="both"/>
        <w:rPr>
          <w:rFonts w:asciiTheme="minorEastAsia" w:hAnsiTheme="minorEastAsia" w:eastAsiaTheme="minorEastAsia"/>
        </w:rPr>
      </w:pPr>
      <w:r>
        <w:rPr>
          <w:rFonts w:hint="eastAsia" w:asciiTheme="minorEastAsia" w:hAnsiTheme="minorEastAsia" w:eastAsiaTheme="minorEastAsia"/>
        </w:rPr>
        <w:t>试验对象为电池包或系统。</w:t>
      </w:r>
    </w:p>
    <w:p>
      <w:pPr>
        <w:pStyle w:val="51"/>
        <w:spacing w:before="156" w:after="156"/>
        <w:ind w:left="0" w:firstLine="0"/>
        <w:jc w:val="both"/>
        <w:rPr>
          <w:rFonts w:asciiTheme="minorEastAsia" w:hAnsiTheme="minorEastAsia" w:eastAsiaTheme="minorEastAsia"/>
        </w:rPr>
      </w:pPr>
      <w:r>
        <w:rPr>
          <w:rFonts w:hint="eastAsia" w:asciiTheme="minorEastAsia" w:hAnsiTheme="minorEastAsia" w:eastAsiaTheme="minorEastAsia"/>
        </w:rPr>
        <w:t>为保护试验操作人员和实验室安全，制造商应提供电压锐变限值作为异常终止条件。</w:t>
      </w:r>
    </w:p>
    <w:p>
      <w:pPr>
        <w:pStyle w:val="51"/>
        <w:spacing w:before="156" w:after="156"/>
        <w:ind w:left="0" w:firstLine="0"/>
        <w:jc w:val="both"/>
        <w:rPr>
          <w:rFonts w:ascii="Times New Roman" w:eastAsiaTheme="minorEastAsia"/>
          <w:color w:val="000000"/>
          <w:kern w:val="24"/>
        </w:rPr>
      </w:pPr>
      <w:r>
        <w:rPr>
          <w:rFonts w:hint="eastAsia" w:ascii="Times New Roman" w:eastAsiaTheme="minorEastAsia"/>
          <w:color w:val="000000"/>
          <w:kern w:val="24"/>
        </w:rPr>
        <w:t>试验开始前，将试验对象的SOC状态调至不低于制造商规定的正常</w:t>
      </w:r>
      <w:r>
        <w:rPr>
          <w:rFonts w:ascii="Times New Roman" w:eastAsiaTheme="minorEastAsia"/>
          <w:color w:val="000000"/>
          <w:kern w:val="24"/>
        </w:rPr>
        <w:t>SOC</w:t>
      </w:r>
      <w:r>
        <w:rPr>
          <w:rFonts w:hint="eastAsia" w:ascii="Times New Roman" w:eastAsiaTheme="minorEastAsia"/>
          <w:color w:val="000000"/>
          <w:kern w:val="24"/>
        </w:rPr>
        <w:t>工作范围的5</w:t>
      </w:r>
      <w:r>
        <w:rPr>
          <w:rFonts w:ascii="Times New Roman" w:eastAsiaTheme="minorEastAsia"/>
          <w:color w:val="000000"/>
          <w:kern w:val="24"/>
        </w:rPr>
        <w:t>0%</w:t>
      </w:r>
      <w:r>
        <w:rPr>
          <w:rFonts w:hint="eastAsia" w:ascii="Times New Roman" w:eastAsiaTheme="minorEastAsia"/>
          <w:color w:val="000000"/>
          <w:kern w:val="24"/>
        </w:rPr>
        <w:t>。</w:t>
      </w:r>
    </w:p>
    <w:p>
      <w:pPr>
        <w:pStyle w:val="51"/>
        <w:spacing w:before="156" w:after="156"/>
        <w:ind w:left="0" w:firstLine="0"/>
        <w:jc w:val="both"/>
        <w:rPr>
          <w:rFonts w:ascii="Times New Roman" w:eastAsiaTheme="minorEastAsia"/>
          <w:color w:val="000000"/>
          <w:kern w:val="24"/>
        </w:rPr>
      </w:pPr>
      <w:r>
        <w:rPr>
          <w:rFonts w:hint="eastAsia" w:ascii="Times New Roman" w:eastAsiaTheme="minorEastAsia"/>
          <w:color w:val="000000"/>
          <w:kern w:val="24"/>
        </w:rPr>
        <w:t>按照试验对象车辆安装</w:t>
      </w:r>
      <w:r>
        <w:rPr>
          <w:rFonts w:ascii="Times New Roman" w:eastAsiaTheme="minorEastAsia"/>
          <w:color w:val="000000"/>
          <w:kern w:val="24"/>
        </w:rPr>
        <w:t>位置和</w:t>
      </w:r>
      <w:r>
        <w:rPr>
          <w:rFonts w:hint="eastAsia" w:ascii="Times New Roman" w:eastAsiaTheme="minorEastAsia"/>
          <w:color w:val="000000"/>
          <w:kern w:val="24"/>
        </w:rPr>
        <w:t>GB/T 2423.43的要求，将试验对象安装在振动台上。每个方向分别施加随机和定频振动载荷，加载顺序宜为</w:t>
      </w:r>
      <w:r>
        <w:rPr>
          <w:rFonts w:ascii="Times New Roman" w:eastAsiaTheme="minorEastAsia"/>
          <w:color w:val="000000"/>
          <w:kern w:val="24"/>
        </w:rPr>
        <w:t>z</w:t>
      </w:r>
      <w:r>
        <w:rPr>
          <w:rFonts w:hint="eastAsia" w:ascii="Times New Roman" w:eastAsiaTheme="minorEastAsia"/>
          <w:color w:val="000000"/>
          <w:kern w:val="24"/>
        </w:rPr>
        <w:t>轴随机、</w:t>
      </w:r>
      <w:r>
        <w:rPr>
          <w:rFonts w:ascii="Times New Roman" w:eastAsiaTheme="minorEastAsia"/>
          <w:color w:val="000000"/>
          <w:kern w:val="24"/>
        </w:rPr>
        <w:t>z</w:t>
      </w:r>
      <w:r>
        <w:rPr>
          <w:rFonts w:hint="eastAsia" w:ascii="Times New Roman" w:eastAsiaTheme="minorEastAsia"/>
          <w:color w:val="000000"/>
          <w:kern w:val="24"/>
        </w:rPr>
        <w:t>轴定频、</w:t>
      </w:r>
      <w:r>
        <w:rPr>
          <w:rFonts w:ascii="Times New Roman" w:eastAsiaTheme="minorEastAsia"/>
          <w:color w:val="000000"/>
          <w:kern w:val="24"/>
        </w:rPr>
        <w:t>y</w:t>
      </w:r>
      <w:r>
        <w:rPr>
          <w:rFonts w:hint="eastAsia" w:ascii="Times New Roman" w:eastAsiaTheme="minorEastAsia"/>
          <w:color w:val="000000"/>
          <w:kern w:val="24"/>
        </w:rPr>
        <w:t>轴随机、</w:t>
      </w:r>
      <w:r>
        <w:rPr>
          <w:rFonts w:ascii="Times New Roman" w:eastAsiaTheme="minorEastAsia"/>
          <w:color w:val="000000"/>
          <w:kern w:val="24"/>
        </w:rPr>
        <w:t>y</w:t>
      </w:r>
      <w:r>
        <w:rPr>
          <w:rFonts w:hint="eastAsia" w:ascii="Times New Roman" w:eastAsiaTheme="minorEastAsia"/>
          <w:color w:val="000000"/>
          <w:kern w:val="24"/>
        </w:rPr>
        <w:t>轴定频、</w:t>
      </w:r>
      <w:r>
        <w:rPr>
          <w:rFonts w:ascii="Times New Roman" w:eastAsiaTheme="minorEastAsia"/>
          <w:color w:val="000000"/>
          <w:kern w:val="24"/>
        </w:rPr>
        <w:t>x</w:t>
      </w:r>
      <w:r>
        <w:rPr>
          <w:rFonts w:hint="eastAsia" w:ascii="Times New Roman" w:eastAsiaTheme="minorEastAsia"/>
          <w:color w:val="000000"/>
          <w:kern w:val="24"/>
        </w:rPr>
        <w:t>轴随机、</w:t>
      </w:r>
      <w:r>
        <w:rPr>
          <w:rFonts w:ascii="Times New Roman" w:eastAsiaTheme="minorEastAsia"/>
          <w:color w:val="000000"/>
          <w:kern w:val="24"/>
        </w:rPr>
        <w:t>x</w:t>
      </w:r>
      <w:r>
        <w:rPr>
          <w:rFonts w:hint="eastAsia" w:ascii="Times New Roman" w:eastAsiaTheme="minorEastAsia"/>
          <w:color w:val="000000"/>
          <w:kern w:val="24"/>
        </w:rPr>
        <w:t>轴定频（汽车行驶方向为</w:t>
      </w:r>
      <w:r>
        <w:rPr>
          <w:rFonts w:ascii="Times New Roman" w:eastAsiaTheme="minorEastAsia"/>
          <w:color w:val="000000"/>
          <w:kern w:val="24"/>
        </w:rPr>
        <w:t>x</w:t>
      </w:r>
      <w:r>
        <w:rPr>
          <w:rFonts w:hint="eastAsia" w:ascii="Times New Roman" w:eastAsiaTheme="minorEastAsia"/>
          <w:color w:val="000000"/>
          <w:kern w:val="24"/>
        </w:rPr>
        <w:t>轴方向，另一垂直于行驶方向的水平方向为</w:t>
      </w:r>
      <w:r>
        <w:rPr>
          <w:rFonts w:ascii="Times New Roman" w:eastAsiaTheme="minorEastAsia"/>
          <w:color w:val="000000"/>
          <w:kern w:val="24"/>
        </w:rPr>
        <w:t>y</w:t>
      </w:r>
      <w:r>
        <w:rPr>
          <w:rFonts w:hint="eastAsia" w:ascii="Times New Roman" w:eastAsiaTheme="minorEastAsia"/>
          <w:color w:val="000000"/>
          <w:kern w:val="24"/>
        </w:rPr>
        <w:t>轴方向）。检测</w:t>
      </w:r>
      <w:r>
        <w:rPr>
          <w:rFonts w:ascii="Times New Roman" w:eastAsiaTheme="minorEastAsia"/>
          <w:color w:val="000000"/>
          <w:kern w:val="24"/>
        </w:rPr>
        <w:t>机构</w:t>
      </w:r>
      <w:r>
        <w:rPr>
          <w:rFonts w:hint="eastAsia" w:ascii="Times New Roman" w:eastAsiaTheme="minorEastAsia"/>
          <w:color w:val="000000"/>
          <w:kern w:val="24"/>
        </w:rPr>
        <w:t>也可</w:t>
      </w:r>
      <w:r>
        <w:rPr>
          <w:rFonts w:ascii="Times New Roman" w:eastAsiaTheme="minorEastAsia"/>
          <w:color w:val="000000"/>
          <w:kern w:val="24"/>
        </w:rPr>
        <w:t>自行选择顺序，以缩短</w:t>
      </w:r>
      <w:r>
        <w:rPr>
          <w:rFonts w:hint="eastAsia" w:ascii="Times New Roman" w:eastAsiaTheme="minorEastAsia"/>
          <w:color w:val="000000"/>
          <w:kern w:val="24"/>
        </w:rPr>
        <w:t>转换</w:t>
      </w:r>
      <w:r>
        <w:rPr>
          <w:rFonts w:ascii="Times New Roman" w:eastAsiaTheme="minorEastAsia"/>
          <w:color w:val="000000"/>
          <w:kern w:val="24"/>
        </w:rPr>
        <w:t>时间。</w:t>
      </w:r>
      <w:r>
        <w:rPr>
          <w:rFonts w:hint="eastAsia" w:ascii="Times New Roman" w:eastAsiaTheme="minorEastAsia"/>
          <w:color w:val="000000"/>
          <w:kern w:val="24"/>
        </w:rPr>
        <w:t>测试过程参照GB/T 2423.56。</w:t>
      </w:r>
    </w:p>
    <w:p>
      <w:pPr>
        <w:pStyle w:val="51"/>
        <w:spacing w:before="156" w:after="156"/>
        <w:ind w:left="0" w:firstLine="0"/>
        <w:jc w:val="both"/>
        <w:rPr>
          <w:rFonts w:ascii="Times New Roman" w:eastAsiaTheme="minorEastAsia"/>
          <w:color w:val="000000"/>
          <w:kern w:val="24"/>
        </w:rPr>
      </w:pPr>
      <w:r>
        <w:rPr>
          <w:rFonts w:hint="eastAsia" w:ascii="Times New Roman" w:eastAsiaTheme="minorEastAsia"/>
          <w:color w:val="000000"/>
          <w:kern w:val="24"/>
        </w:rPr>
        <w:t>对于装载在除M</w:t>
      </w:r>
      <w:r>
        <w:rPr>
          <w:rFonts w:hint="eastAsia" w:ascii="Times New Roman" w:eastAsiaTheme="minorEastAsia"/>
          <w:color w:val="000000"/>
          <w:kern w:val="24"/>
          <w:vertAlign w:val="subscript"/>
        </w:rPr>
        <w:t>1</w:t>
      </w:r>
      <w:r>
        <w:rPr>
          <w:rFonts w:hint="eastAsia" w:ascii="Times New Roman" w:eastAsiaTheme="minorEastAsia"/>
          <w:color w:val="000000"/>
          <w:kern w:val="24"/>
        </w:rPr>
        <w:t>、N</w:t>
      </w:r>
      <w:r>
        <w:rPr>
          <w:rFonts w:hint="eastAsia" w:ascii="Times New Roman" w:eastAsiaTheme="minorEastAsia"/>
          <w:color w:val="000000"/>
          <w:kern w:val="24"/>
          <w:vertAlign w:val="subscript"/>
        </w:rPr>
        <w:t>1</w:t>
      </w:r>
      <w:r>
        <w:rPr>
          <w:rFonts w:hint="eastAsia" w:ascii="Times New Roman" w:eastAsiaTheme="minorEastAsia"/>
          <w:color w:val="000000"/>
          <w:kern w:val="24"/>
        </w:rPr>
        <w:t>类以外的车辆上的电池包或系统，振动测试参数按照表</w:t>
      </w:r>
      <w:r>
        <w:rPr>
          <w:rFonts w:ascii="Times New Roman" w:eastAsiaTheme="minorEastAsia"/>
          <w:color w:val="000000"/>
          <w:kern w:val="24"/>
        </w:rPr>
        <w:t>2</w:t>
      </w:r>
      <w:r>
        <w:rPr>
          <w:rFonts w:hint="eastAsia" w:ascii="Times New Roman" w:eastAsiaTheme="minorEastAsia"/>
          <w:color w:val="000000"/>
          <w:kern w:val="24"/>
        </w:rPr>
        <w:t>和图2进行，对于试验对象存在多个安装方向（</w:t>
      </w:r>
      <w:r>
        <w:rPr>
          <w:rFonts w:ascii="Times New Roman" w:eastAsiaTheme="minorEastAsia"/>
          <w:color w:val="000000"/>
          <w:kern w:val="24"/>
        </w:rPr>
        <w:t>x</w:t>
      </w:r>
      <w:r>
        <w:rPr>
          <w:rFonts w:hint="eastAsia" w:ascii="Times New Roman" w:eastAsiaTheme="minorEastAsia"/>
          <w:color w:val="000000"/>
          <w:kern w:val="24"/>
        </w:rPr>
        <w:t xml:space="preserve">/ </w:t>
      </w:r>
      <w:r>
        <w:rPr>
          <w:rFonts w:ascii="Times New Roman" w:eastAsiaTheme="minorEastAsia"/>
          <w:color w:val="000000"/>
          <w:kern w:val="24"/>
        </w:rPr>
        <w:t>y</w:t>
      </w:r>
      <w:r>
        <w:rPr>
          <w:rFonts w:hint="eastAsia" w:ascii="Times New Roman" w:eastAsiaTheme="minorEastAsia"/>
          <w:color w:val="000000"/>
          <w:kern w:val="24"/>
        </w:rPr>
        <w:t xml:space="preserve">/ </w:t>
      </w:r>
      <w:r>
        <w:rPr>
          <w:rFonts w:ascii="Times New Roman" w:eastAsiaTheme="minorEastAsia"/>
          <w:color w:val="000000"/>
          <w:kern w:val="24"/>
        </w:rPr>
        <w:t>z</w:t>
      </w:r>
      <w:r>
        <w:rPr>
          <w:rFonts w:hint="eastAsia" w:ascii="Times New Roman" w:eastAsiaTheme="minorEastAsia"/>
          <w:color w:val="000000"/>
          <w:kern w:val="24"/>
        </w:rPr>
        <w:t>）</w:t>
      </w:r>
      <w:r>
        <w:rPr>
          <w:rFonts w:ascii="Times New Roman" w:eastAsiaTheme="minorEastAsia"/>
          <w:color w:val="000000"/>
          <w:kern w:val="24"/>
        </w:rPr>
        <w:t>时</w:t>
      </w:r>
      <w:r>
        <w:rPr>
          <w:rFonts w:hint="eastAsia" w:ascii="Times New Roman" w:eastAsiaTheme="minorEastAsia"/>
          <w:color w:val="000000"/>
          <w:kern w:val="24"/>
        </w:rPr>
        <w:t>，</w:t>
      </w:r>
      <w:r>
        <w:rPr>
          <w:rFonts w:hint="eastAsia" w:asciiTheme="minorEastAsia" w:hAnsiTheme="minorEastAsia" w:eastAsiaTheme="minorEastAsia"/>
        </w:rPr>
        <w:t>按照</w:t>
      </w:r>
      <w:r>
        <w:rPr>
          <w:rFonts w:ascii="Times New Roman" w:eastAsiaTheme="minorEastAsia"/>
          <w:color w:val="000000"/>
          <w:kern w:val="24"/>
        </w:rPr>
        <w:t>RMS</w:t>
      </w:r>
      <w:r>
        <w:rPr>
          <w:rFonts w:hint="eastAsia" w:asciiTheme="minorEastAsia" w:hAnsiTheme="minorEastAsia" w:eastAsiaTheme="minorEastAsia"/>
        </w:rPr>
        <w:t>大的安装方向进行试验</w:t>
      </w:r>
      <w:r>
        <w:rPr>
          <w:rFonts w:hint="eastAsia" w:ascii="Times New Roman" w:eastAsiaTheme="minorEastAsia"/>
          <w:color w:val="000000"/>
          <w:kern w:val="24"/>
        </w:rPr>
        <w:t>。对于安装在车辆顶部的电池包或系统，按照制造商提供的不低于表</w:t>
      </w:r>
      <w:r>
        <w:rPr>
          <w:rFonts w:ascii="Times New Roman" w:eastAsiaTheme="minorEastAsia"/>
          <w:color w:val="000000"/>
          <w:kern w:val="24"/>
        </w:rPr>
        <w:t>2</w:t>
      </w:r>
      <w:r>
        <w:rPr>
          <w:rFonts w:hint="eastAsia" w:ascii="Times New Roman" w:eastAsiaTheme="minorEastAsia"/>
          <w:color w:val="000000"/>
          <w:kern w:val="24"/>
        </w:rPr>
        <w:t>和图2的振动测试参数开展振动测试。</w:t>
      </w:r>
    </w:p>
    <w:p>
      <w:pPr>
        <w:pStyle w:val="51"/>
        <w:spacing w:before="156" w:after="156"/>
        <w:ind w:left="0" w:firstLine="0"/>
        <w:jc w:val="both"/>
        <w:rPr>
          <w:rFonts w:ascii="Times New Roman" w:eastAsiaTheme="minorEastAsia"/>
          <w:color w:val="000000"/>
          <w:kern w:val="24"/>
        </w:rPr>
      </w:pPr>
      <w:r>
        <w:rPr>
          <w:rFonts w:hint="eastAsia" w:ascii="Times New Roman" w:eastAsiaTheme="minorEastAsia"/>
          <w:color w:val="000000"/>
          <w:kern w:val="24"/>
        </w:rPr>
        <w:t>对于装载在M</w:t>
      </w:r>
      <w:r>
        <w:rPr>
          <w:rFonts w:hint="eastAsia" w:ascii="Times New Roman" w:eastAsiaTheme="minorEastAsia"/>
          <w:color w:val="000000"/>
          <w:kern w:val="24"/>
          <w:vertAlign w:val="subscript"/>
        </w:rPr>
        <w:t>1</w:t>
      </w:r>
      <w:r>
        <w:rPr>
          <w:rFonts w:hint="eastAsia" w:ascii="Times New Roman" w:eastAsiaTheme="minorEastAsia"/>
          <w:color w:val="000000"/>
          <w:kern w:val="24"/>
        </w:rPr>
        <w:t>、N</w:t>
      </w:r>
      <w:r>
        <w:rPr>
          <w:rFonts w:hint="eastAsia" w:ascii="Times New Roman" w:eastAsiaTheme="minorEastAsia"/>
          <w:color w:val="000000"/>
          <w:kern w:val="24"/>
          <w:vertAlign w:val="subscript"/>
        </w:rPr>
        <w:t>1</w:t>
      </w:r>
      <w:r>
        <w:rPr>
          <w:rFonts w:hint="eastAsia" w:ascii="Times New Roman" w:eastAsiaTheme="minorEastAsia"/>
          <w:color w:val="000000"/>
          <w:kern w:val="24"/>
        </w:rPr>
        <w:t>类车辆上的电池包或系统，振动测试参数按照表</w:t>
      </w:r>
      <w:r>
        <w:rPr>
          <w:rFonts w:ascii="Times New Roman" w:eastAsiaTheme="minorEastAsia"/>
          <w:color w:val="000000"/>
          <w:kern w:val="24"/>
        </w:rPr>
        <w:t>3</w:t>
      </w:r>
      <w:r>
        <w:rPr>
          <w:rFonts w:hint="eastAsia" w:ascii="Times New Roman" w:eastAsiaTheme="minorEastAsia"/>
          <w:color w:val="000000"/>
          <w:kern w:val="24"/>
        </w:rPr>
        <w:t>和图3进行。</w:t>
      </w:r>
      <w:bookmarkStart w:id="1100" w:name="_Toc468729526"/>
      <w:bookmarkStart w:id="1101" w:name="_Toc467700702"/>
    </w:p>
    <w:p>
      <w:pPr>
        <w:pStyle w:val="55"/>
        <w:numPr>
          <w:ilvl w:val="0"/>
          <w:numId w:val="0"/>
        </w:numPr>
        <w:spacing w:before="156" w:after="156"/>
        <w:jc w:val="center"/>
        <w:rPr>
          <w:rFonts w:hAnsi="黑体"/>
          <w:color w:val="000000"/>
          <w:kern w:val="24"/>
        </w:rPr>
      </w:pPr>
      <w:r>
        <w:rPr>
          <w:rFonts w:hint="eastAsia" w:hAnsi="黑体"/>
          <w:color w:val="000000"/>
          <w:kern w:val="24"/>
        </w:rPr>
        <w:t>表</w:t>
      </w:r>
      <w:r>
        <w:rPr>
          <w:rFonts w:hAnsi="黑体"/>
          <w:color w:val="000000"/>
          <w:kern w:val="24"/>
        </w:rPr>
        <w:t xml:space="preserve">2 </w:t>
      </w:r>
      <w:r>
        <w:rPr>
          <w:rFonts w:hint="eastAsia" w:hAnsi="黑体"/>
          <w:color w:val="000000"/>
          <w:kern w:val="24"/>
        </w:rPr>
        <w:t>除</w:t>
      </w:r>
      <w:r>
        <w:rPr>
          <w:rFonts w:hAnsi="黑体"/>
          <w:color w:val="000000"/>
          <w:kern w:val="24"/>
        </w:rPr>
        <w:t>M</w:t>
      </w:r>
      <w:r>
        <w:rPr>
          <w:rFonts w:hAnsi="黑体"/>
          <w:color w:val="000000"/>
          <w:kern w:val="24"/>
          <w:vertAlign w:val="subscript"/>
        </w:rPr>
        <w:t>1</w:t>
      </w:r>
      <w:r>
        <w:rPr>
          <w:rFonts w:hint="eastAsia" w:hAnsi="黑体"/>
          <w:color w:val="000000"/>
          <w:kern w:val="24"/>
        </w:rPr>
        <w:t>、</w:t>
      </w:r>
      <w:r>
        <w:rPr>
          <w:rFonts w:hAnsi="黑体"/>
          <w:color w:val="000000"/>
          <w:kern w:val="24"/>
        </w:rPr>
        <w:t>N</w:t>
      </w:r>
      <w:r>
        <w:rPr>
          <w:rFonts w:hAnsi="黑体"/>
          <w:color w:val="000000"/>
          <w:kern w:val="24"/>
          <w:vertAlign w:val="subscript"/>
        </w:rPr>
        <w:t>1</w:t>
      </w:r>
      <w:r>
        <w:rPr>
          <w:rFonts w:hint="eastAsia" w:hAnsi="黑体"/>
          <w:color w:val="000000"/>
          <w:kern w:val="24"/>
        </w:rPr>
        <w:t>类以外的车辆电池包或系统的振动测试条件</w:t>
      </w:r>
      <w:bookmarkEnd w:id="1100"/>
      <w:bookmarkEnd w:id="1101"/>
    </w:p>
    <w:tbl>
      <w:tblPr>
        <w:tblStyle w:val="33"/>
        <w:tblW w:w="9247" w:type="dxa"/>
        <w:jc w:val="center"/>
        <w:tblLayout w:type="fixed"/>
        <w:tblCellMar>
          <w:top w:w="0" w:type="dxa"/>
          <w:left w:w="108" w:type="dxa"/>
          <w:bottom w:w="0" w:type="dxa"/>
          <w:right w:w="108" w:type="dxa"/>
        </w:tblCellMar>
      </w:tblPr>
      <w:tblGrid>
        <w:gridCol w:w="1430"/>
        <w:gridCol w:w="2605"/>
        <w:gridCol w:w="2606"/>
        <w:gridCol w:w="2606"/>
      </w:tblGrid>
      <w:tr>
        <w:tblPrEx>
          <w:tblCellMar>
            <w:top w:w="0" w:type="dxa"/>
            <w:left w:w="108" w:type="dxa"/>
            <w:bottom w:w="0" w:type="dxa"/>
            <w:right w:w="108" w:type="dxa"/>
          </w:tblCellMar>
        </w:tblPrEx>
        <w:trPr>
          <w:trHeight w:val="132" w:hRule="atLeast"/>
          <w:jc w:val="center"/>
        </w:trPr>
        <w:tc>
          <w:tcPr>
            <w:tcW w:w="924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随机振动（每个方向测试时间为1</w:t>
            </w:r>
            <w:r>
              <w:rPr>
                <w:rFonts w:asciiTheme="majorEastAsia" w:hAnsiTheme="majorEastAsia" w:eastAsiaTheme="majorEastAsia"/>
                <w:kern w:val="0"/>
                <w:sz w:val="18"/>
                <w:szCs w:val="18"/>
              </w:rPr>
              <w:t xml:space="preserve">2 </w:t>
            </w:r>
            <w:r>
              <w:rPr>
                <w:rFonts w:hint="eastAsia" w:asciiTheme="majorEastAsia" w:hAnsiTheme="majorEastAsia" w:eastAsiaTheme="majorEastAsia"/>
                <w:kern w:val="0"/>
                <w:sz w:val="18"/>
                <w:szCs w:val="18"/>
              </w:rPr>
              <w:t>h）</w:t>
            </w:r>
          </w:p>
        </w:tc>
      </w:tr>
      <w:tr>
        <w:tblPrEx>
          <w:tblCellMar>
            <w:top w:w="0" w:type="dxa"/>
            <w:left w:w="108" w:type="dxa"/>
            <w:bottom w:w="0" w:type="dxa"/>
            <w:right w:w="108" w:type="dxa"/>
          </w:tblCellMar>
        </w:tblPrEx>
        <w:trPr>
          <w:trHeight w:val="660"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kern w:val="0"/>
                <w:sz w:val="18"/>
                <w:szCs w:val="18"/>
              </w:rPr>
              <w:t>频率</w:t>
            </w:r>
            <w:r>
              <w:rPr>
                <w:rFonts w:asciiTheme="majorEastAsia" w:hAnsiTheme="majorEastAsia" w:eastAsiaTheme="majorEastAsia"/>
                <w:kern w:val="0"/>
                <w:sz w:val="18"/>
                <w:szCs w:val="18"/>
              </w:rPr>
              <w:t>Hz</w:t>
            </w:r>
          </w:p>
          <w:p>
            <w:pPr>
              <w:widowControl/>
              <w:jc w:val="center"/>
              <w:rPr>
                <w:rFonts w:asciiTheme="majorEastAsia" w:hAnsiTheme="majorEastAsia" w:eastAsiaTheme="majorEastAsia"/>
                <w:kern w:val="0"/>
                <w:sz w:val="18"/>
                <w:szCs w:val="18"/>
              </w:rPr>
            </w:pPr>
          </w:p>
        </w:tc>
        <w:tc>
          <w:tcPr>
            <w:tcW w:w="26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z</w:t>
            </w:r>
            <w:r>
              <w:rPr>
                <w:rFonts w:hint="eastAsia" w:asciiTheme="majorEastAsia" w:hAnsiTheme="majorEastAsia" w:eastAsiaTheme="majorEastAsia"/>
                <w:kern w:val="0"/>
                <w:sz w:val="18"/>
                <w:szCs w:val="18"/>
              </w:rPr>
              <w:t>轴功率谱密度（</w:t>
            </w:r>
            <w:r>
              <w:rPr>
                <w:rFonts w:asciiTheme="majorEastAsia" w:hAnsiTheme="majorEastAsia" w:eastAsiaTheme="majorEastAsia"/>
                <w:kern w:val="0"/>
                <w:sz w:val="18"/>
                <w:szCs w:val="18"/>
              </w:rPr>
              <w:t>PSD</w:t>
            </w: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g</w:t>
            </w:r>
            <w:r>
              <w:rPr>
                <w:rFonts w:asciiTheme="majorEastAsia" w:hAnsiTheme="majorEastAsia" w:eastAsiaTheme="majorEastAsia"/>
                <w:kern w:val="0"/>
                <w:sz w:val="18"/>
                <w:szCs w:val="18"/>
                <w:vertAlign w:val="superscript"/>
              </w:rPr>
              <w:t>2</w:t>
            </w:r>
            <w:r>
              <w:rPr>
                <w:rFonts w:asciiTheme="majorEastAsia" w:hAnsiTheme="majorEastAsia" w:eastAsiaTheme="majorEastAsia"/>
                <w:kern w:val="0"/>
                <w:sz w:val="18"/>
                <w:szCs w:val="18"/>
              </w:rPr>
              <w:t>/Hz</w:t>
            </w:r>
          </w:p>
        </w:tc>
        <w:tc>
          <w:tcPr>
            <w:tcW w:w="26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y</w:t>
            </w:r>
            <w:r>
              <w:rPr>
                <w:rFonts w:hint="eastAsia" w:asciiTheme="majorEastAsia" w:hAnsiTheme="majorEastAsia" w:eastAsiaTheme="majorEastAsia"/>
                <w:kern w:val="0"/>
                <w:sz w:val="18"/>
                <w:szCs w:val="18"/>
              </w:rPr>
              <w:t>轴功率谱密度（</w:t>
            </w:r>
            <w:r>
              <w:rPr>
                <w:rFonts w:asciiTheme="majorEastAsia" w:hAnsiTheme="majorEastAsia" w:eastAsiaTheme="majorEastAsia"/>
                <w:kern w:val="0"/>
                <w:sz w:val="18"/>
                <w:szCs w:val="18"/>
              </w:rPr>
              <w:t>PSD</w:t>
            </w: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g</w:t>
            </w:r>
            <w:r>
              <w:rPr>
                <w:rFonts w:asciiTheme="majorEastAsia" w:hAnsiTheme="majorEastAsia" w:eastAsiaTheme="majorEastAsia"/>
                <w:kern w:val="0"/>
                <w:sz w:val="18"/>
                <w:szCs w:val="18"/>
                <w:vertAlign w:val="superscript"/>
              </w:rPr>
              <w:t>2</w:t>
            </w:r>
            <w:r>
              <w:rPr>
                <w:rFonts w:asciiTheme="majorEastAsia" w:hAnsiTheme="majorEastAsia" w:eastAsiaTheme="majorEastAsia"/>
                <w:kern w:val="0"/>
                <w:sz w:val="18"/>
                <w:szCs w:val="18"/>
              </w:rPr>
              <w:t>/Hz</w:t>
            </w:r>
          </w:p>
        </w:tc>
        <w:tc>
          <w:tcPr>
            <w:tcW w:w="26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x</w:t>
            </w:r>
            <w:r>
              <w:rPr>
                <w:rFonts w:hint="eastAsia" w:asciiTheme="majorEastAsia" w:hAnsiTheme="majorEastAsia" w:eastAsiaTheme="majorEastAsia"/>
                <w:kern w:val="0"/>
                <w:sz w:val="18"/>
                <w:szCs w:val="18"/>
              </w:rPr>
              <w:t>轴功率谱密度（</w:t>
            </w:r>
            <w:r>
              <w:rPr>
                <w:rFonts w:asciiTheme="majorEastAsia" w:hAnsiTheme="majorEastAsia" w:eastAsiaTheme="majorEastAsia"/>
                <w:kern w:val="0"/>
                <w:sz w:val="18"/>
                <w:szCs w:val="18"/>
              </w:rPr>
              <w:t>PSD</w:t>
            </w: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g</w:t>
            </w:r>
            <w:r>
              <w:rPr>
                <w:rFonts w:asciiTheme="majorEastAsia" w:hAnsiTheme="majorEastAsia" w:eastAsiaTheme="majorEastAsia"/>
                <w:kern w:val="0"/>
                <w:sz w:val="18"/>
                <w:szCs w:val="18"/>
                <w:vertAlign w:val="superscript"/>
              </w:rPr>
              <w:t>2</w:t>
            </w:r>
            <w:r>
              <w:rPr>
                <w:rFonts w:asciiTheme="majorEastAsia" w:hAnsiTheme="majorEastAsia" w:eastAsiaTheme="majorEastAsia"/>
                <w:kern w:val="0"/>
                <w:sz w:val="18"/>
                <w:szCs w:val="18"/>
              </w:rPr>
              <w:t>/Hz</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5</w:t>
            </w: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0.008</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0.005</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0.002</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10</w:t>
            </w: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0.042</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0.025</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0.018</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15</w:t>
            </w:r>
          </w:p>
        </w:tc>
        <w:tc>
          <w:tcPr>
            <w:tcW w:w="260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0.042</w:t>
            </w:r>
          </w:p>
        </w:tc>
        <w:tc>
          <w:tcPr>
            <w:tcW w:w="2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0.025</w:t>
            </w:r>
          </w:p>
        </w:tc>
        <w:tc>
          <w:tcPr>
            <w:tcW w:w="2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0.018</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40</w:t>
            </w:r>
          </w:p>
        </w:tc>
        <w:tc>
          <w:tcPr>
            <w:tcW w:w="2605"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0.0005</w:t>
            </w:r>
          </w:p>
        </w:tc>
        <w:tc>
          <w:tcPr>
            <w:tcW w:w="2606"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w:t>
            </w:r>
          </w:p>
        </w:tc>
        <w:tc>
          <w:tcPr>
            <w:tcW w:w="2606"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60</w:t>
            </w: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0.0001</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100</w:t>
            </w: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0.0005</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0.0001</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200</w:t>
            </w: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0.00001</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0.00001</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0.00001</w:t>
            </w:r>
          </w:p>
        </w:tc>
      </w:tr>
      <w:tr>
        <w:tblPrEx>
          <w:tblCellMar>
            <w:top w:w="0" w:type="dxa"/>
            <w:left w:w="108" w:type="dxa"/>
            <w:bottom w:w="0" w:type="dxa"/>
            <w:right w:w="108" w:type="dxa"/>
          </w:tblCellMar>
        </w:tblPrEx>
        <w:trPr>
          <w:trHeight w:val="263" w:hRule="atLeast"/>
          <w:jc w:val="center"/>
        </w:trPr>
        <w:tc>
          <w:tcPr>
            <w:tcW w:w="1430" w:type="dxa"/>
            <w:vMerge w:val="restart"/>
            <w:tcBorders>
              <w:top w:val="nil"/>
              <w:left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均方根</w:t>
            </w:r>
            <w:r>
              <w:rPr>
                <w:rFonts w:asciiTheme="majorEastAsia" w:hAnsiTheme="majorEastAsia" w:eastAsiaTheme="majorEastAsia"/>
                <w:kern w:val="0"/>
                <w:sz w:val="18"/>
                <w:szCs w:val="18"/>
              </w:rPr>
              <w:t>RMS</w:t>
            </w: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color w:val="000000"/>
                <w:kern w:val="0"/>
                <w:sz w:val="18"/>
                <w:szCs w:val="18"/>
              </w:rPr>
              <w:t>z</w:t>
            </w:r>
            <w:r>
              <w:rPr>
                <w:rFonts w:hint="eastAsia" w:asciiTheme="majorEastAsia" w:hAnsiTheme="majorEastAsia" w:eastAsiaTheme="majorEastAsia"/>
                <w:color w:val="000000"/>
                <w:kern w:val="0"/>
                <w:sz w:val="18"/>
                <w:szCs w:val="18"/>
              </w:rPr>
              <w:t>轴</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color w:val="000000"/>
                <w:kern w:val="0"/>
                <w:sz w:val="18"/>
                <w:szCs w:val="18"/>
              </w:rPr>
              <w:t>y轴</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color w:val="000000"/>
                <w:kern w:val="0"/>
                <w:sz w:val="18"/>
                <w:szCs w:val="18"/>
              </w:rPr>
              <w:t>x</w:t>
            </w:r>
            <w:r>
              <w:rPr>
                <w:rFonts w:hint="eastAsia" w:asciiTheme="majorEastAsia" w:hAnsiTheme="majorEastAsia" w:eastAsiaTheme="majorEastAsia"/>
                <w:color w:val="000000"/>
                <w:kern w:val="0"/>
                <w:sz w:val="18"/>
                <w:szCs w:val="18"/>
              </w:rPr>
              <w:t>轴</w:t>
            </w:r>
          </w:p>
        </w:tc>
      </w:tr>
      <w:tr>
        <w:tblPrEx>
          <w:tblCellMar>
            <w:top w:w="0" w:type="dxa"/>
            <w:left w:w="108" w:type="dxa"/>
            <w:bottom w:w="0" w:type="dxa"/>
            <w:right w:w="108" w:type="dxa"/>
          </w:tblCellMar>
        </w:tblPrEx>
        <w:trPr>
          <w:trHeight w:val="263" w:hRule="atLeast"/>
          <w:jc w:val="center"/>
        </w:trPr>
        <w:tc>
          <w:tcPr>
            <w:tcW w:w="1430" w:type="dxa"/>
            <w:vMerge w:val="continue"/>
            <w:tcBorders>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p>
        </w:tc>
        <w:tc>
          <w:tcPr>
            <w:tcW w:w="2605"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 xml:space="preserve">0.73 </w:t>
            </w:r>
            <w:r>
              <w:rPr>
                <w:rFonts w:hint="eastAsia" w:asciiTheme="majorEastAsia" w:hAnsiTheme="majorEastAsia" w:eastAsiaTheme="majorEastAsia"/>
                <w:kern w:val="0"/>
                <w:sz w:val="18"/>
                <w:szCs w:val="18"/>
              </w:rPr>
              <w:t>g</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 xml:space="preserve">0.57 </w:t>
            </w:r>
            <w:r>
              <w:rPr>
                <w:rFonts w:hint="eastAsia" w:asciiTheme="majorEastAsia" w:hAnsiTheme="majorEastAsia" w:eastAsiaTheme="majorEastAsia"/>
                <w:kern w:val="0"/>
                <w:sz w:val="18"/>
                <w:szCs w:val="18"/>
              </w:rPr>
              <w:t>g</w:t>
            </w:r>
          </w:p>
        </w:tc>
        <w:tc>
          <w:tcPr>
            <w:tcW w:w="2606"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 xml:space="preserve">0.52 </w:t>
            </w:r>
            <w:r>
              <w:rPr>
                <w:rFonts w:hint="eastAsia" w:asciiTheme="majorEastAsia" w:hAnsiTheme="majorEastAsia" w:eastAsiaTheme="majorEastAsia"/>
                <w:kern w:val="0"/>
                <w:sz w:val="18"/>
                <w:szCs w:val="18"/>
              </w:rPr>
              <w:t>g</w:t>
            </w:r>
          </w:p>
        </w:tc>
      </w:tr>
      <w:tr>
        <w:tblPrEx>
          <w:tblCellMar>
            <w:top w:w="0" w:type="dxa"/>
            <w:left w:w="108" w:type="dxa"/>
            <w:bottom w:w="0" w:type="dxa"/>
            <w:right w:w="108" w:type="dxa"/>
          </w:tblCellMar>
        </w:tblPrEx>
        <w:trPr>
          <w:trHeight w:val="263" w:hRule="atLeast"/>
          <w:jc w:val="center"/>
        </w:trPr>
        <w:tc>
          <w:tcPr>
            <w:tcW w:w="9247" w:type="dxa"/>
            <w:gridSpan w:val="4"/>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正弦定频振动（每个方向测试时间为</w:t>
            </w:r>
            <w:r>
              <w:rPr>
                <w:rFonts w:asciiTheme="majorEastAsia" w:hAnsiTheme="majorEastAsia" w:eastAsiaTheme="majorEastAsia"/>
                <w:kern w:val="0"/>
                <w:sz w:val="18"/>
                <w:szCs w:val="18"/>
              </w:rPr>
              <w:t xml:space="preserve">2 </w:t>
            </w:r>
            <w:r>
              <w:rPr>
                <w:rFonts w:hint="eastAsia" w:asciiTheme="majorEastAsia" w:hAnsiTheme="majorEastAsia" w:eastAsiaTheme="majorEastAsia"/>
                <w:kern w:val="0"/>
                <w:sz w:val="18"/>
                <w:szCs w:val="18"/>
              </w:rPr>
              <w:t>h）</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频率</w:t>
            </w:r>
          </w:p>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kern w:val="0"/>
                <w:sz w:val="18"/>
                <w:szCs w:val="18"/>
              </w:rPr>
              <w:t>Hz</w:t>
            </w:r>
          </w:p>
        </w:tc>
        <w:tc>
          <w:tcPr>
            <w:tcW w:w="2605"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z</w:t>
            </w:r>
            <w:r>
              <w:rPr>
                <w:rFonts w:hint="eastAsia" w:asciiTheme="majorEastAsia" w:hAnsiTheme="majorEastAsia" w:eastAsiaTheme="majorEastAsia"/>
                <w:kern w:val="0"/>
                <w:sz w:val="18"/>
                <w:szCs w:val="18"/>
              </w:rPr>
              <w:t>轴定频幅值</w:t>
            </w:r>
          </w:p>
        </w:tc>
        <w:tc>
          <w:tcPr>
            <w:tcW w:w="2606"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y</w:t>
            </w:r>
            <w:r>
              <w:rPr>
                <w:rFonts w:hint="eastAsia" w:asciiTheme="majorEastAsia" w:hAnsiTheme="majorEastAsia" w:eastAsiaTheme="majorEastAsia"/>
                <w:kern w:val="0"/>
                <w:sz w:val="18"/>
                <w:szCs w:val="18"/>
              </w:rPr>
              <w:t>轴定频幅值</w:t>
            </w:r>
          </w:p>
        </w:tc>
        <w:tc>
          <w:tcPr>
            <w:tcW w:w="2606"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x</w:t>
            </w:r>
            <w:r>
              <w:rPr>
                <w:rFonts w:hint="eastAsia" w:asciiTheme="majorEastAsia" w:hAnsiTheme="majorEastAsia" w:eastAsiaTheme="majorEastAsia"/>
                <w:kern w:val="0"/>
                <w:sz w:val="18"/>
                <w:szCs w:val="18"/>
              </w:rPr>
              <w:t>轴定频幅值</w:t>
            </w:r>
          </w:p>
        </w:tc>
      </w:tr>
      <w:tr>
        <w:tblPrEx>
          <w:tblCellMar>
            <w:top w:w="0" w:type="dxa"/>
            <w:left w:w="108" w:type="dxa"/>
            <w:bottom w:w="0" w:type="dxa"/>
            <w:right w:w="108" w:type="dxa"/>
          </w:tblCellMar>
        </w:tblPrEx>
        <w:trPr>
          <w:trHeight w:val="263" w:hRule="atLeast"/>
          <w:jc w:val="center"/>
        </w:trPr>
        <w:tc>
          <w:tcPr>
            <w:tcW w:w="143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20</w:t>
            </w:r>
          </w:p>
        </w:tc>
        <w:tc>
          <w:tcPr>
            <w:tcW w:w="260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 xml:space="preserve">±1.5 </w:t>
            </w:r>
            <w:r>
              <w:rPr>
                <w:rFonts w:hint="eastAsia" w:asciiTheme="majorEastAsia" w:hAnsiTheme="majorEastAsia" w:eastAsiaTheme="majorEastAsia"/>
                <w:kern w:val="0"/>
                <w:sz w:val="18"/>
                <w:szCs w:val="18"/>
              </w:rPr>
              <w:t>g</w:t>
            </w:r>
          </w:p>
        </w:tc>
        <w:tc>
          <w:tcPr>
            <w:tcW w:w="260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 xml:space="preserve">±1.5 </w:t>
            </w:r>
            <w:r>
              <w:rPr>
                <w:rFonts w:hint="eastAsia" w:asciiTheme="majorEastAsia" w:hAnsiTheme="majorEastAsia" w:eastAsiaTheme="majorEastAsia"/>
                <w:kern w:val="0"/>
                <w:sz w:val="18"/>
                <w:szCs w:val="18"/>
              </w:rPr>
              <w:t>g</w:t>
            </w:r>
          </w:p>
        </w:tc>
        <w:tc>
          <w:tcPr>
            <w:tcW w:w="260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 xml:space="preserve">±2.0 </w:t>
            </w:r>
            <w:r>
              <w:rPr>
                <w:rFonts w:hint="eastAsia" w:asciiTheme="majorEastAsia" w:hAnsiTheme="majorEastAsia" w:eastAsiaTheme="majorEastAsia"/>
                <w:kern w:val="0"/>
                <w:sz w:val="18"/>
                <w:szCs w:val="18"/>
              </w:rPr>
              <w:t>g</w:t>
            </w:r>
          </w:p>
        </w:tc>
      </w:tr>
    </w:tbl>
    <w:p>
      <w:pPr>
        <w:pStyle w:val="23"/>
        <w:spacing w:before="312" w:beforeLines="100"/>
        <w:ind w:firstLine="0" w:firstLineChars="0"/>
        <w:jc w:val="center"/>
      </w:pPr>
      <w:r>
        <w:drawing>
          <wp:inline distT="0" distB="0" distL="0" distR="0">
            <wp:extent cx="3959860" cy="2097405"/>
            <wp:effectExtent l="0" t="0" r="2540" b="17145"/>
            <wp:docPr id="62" name="图表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p>
    <w:p>
      <w:pPr>
        <w:pStyle w:val="23"/>
        <w:spacing w:before="156" w:beforeLines="50" w:after="156" w:afterLines="50"/>
        <w:ind w:firstLine="0" w:firstLineChars="0"/>
        <w:jc w:val="center"/>
      </w:pPr>
      <w:bookmarkStart w:id="1102" w:name="_Toc468729528"/>
      <w:bookmarkStart w:id="1103" w:name="_Toc467700704"/>
      <w:r>
        <w:rPr>
          <w:rFonts w:hint="eastAsia" w:ascii="黑体" w:hAnsi="黑体" w:eastAsia="黑体"/>
          <w:color w:val="000000"/>
          <w:kern w:val="24"/>
          <w:szCs w:val="21"/>
        </w:rPr>
        <w:t>图2</w:t>
      </w:r>
      <w:r>
        <w:rPr>
          <w:rFonts w:hAnsi="黑体"/>
          <w:color w:val="000000"/>
          <w:kern w:val="24"/>
        </w:rPr>
        <w:t xml:space="preserve"> </w:t>
      </w:r>
      <w:r>
        <w:rPr>
          <w:rFonts w:hint="eastAsia" w:ascii="黑体" w:hAnsi="黑体" w:eastAsia="黑体"/>
          <w:color w:val="000000"/>
          <w:kern w:val="24"/>
          <w:szCs w:val="21"/>
        </w:rPr>
        <w:t>除</w:t>
      </w:r>
      <w:r>
        <w:rPr>
          <w:rFonts w:ascii="黑体" w:hAnsi="黑体" w:eastAsia="黑体"/>
          <w:color w:val="000000"/>
          <w:kern w:val="24"/>
          <w:szCs w:val="21"/>
        </w:rPr>
        <w:t>M</w:t>
      </w:r>
      <w:r>
        <w:rPr>
          <w:rFonts w:ascii="黑体" w:hAnsi="黑体" w:eastAsia="黑体"/>
          <w:color w:val="000000"/>
          <w:kern w:val="24"/>
          <w:szCs w:val="21"/>
          <w:vertAlign w:val="subscript"/>
        </w:rPr>
        <w:t>1</w:t>
      </w:r>
      <w:r>
        <w:rPr>
          <w:rFonts w:hint="eastAsia" w:ascii="黑体" w:hAnsi="黑体" w:eastAsia="黑体"/>
          <w:color w:val="000000"/>
          <w:kern w:val="24"/>
          <w:szCs w:val="21"/>
        </w:rPr>
        <w:t>、</w:t>
      </w:r>
      <w:r>
        <w:rPr>
          <w:rFonts w:ascii="黑体" w:hAnsi="黑体" w:eastAsia="黑体"/>
          <w:color w:val="000000"/>
          <w:kern w:val="24"/>
          <w:szCs w:val="21"/>
        </w:rPr>
        <w:t>N</w:t>
      </w:r>
      <w:r>
        <w:rPr>
          <w:rFonts w:ascii="黑体" w:hAnsi="黑体" w:eastAsia="黑体"/>
          <w:color w:val="000000"/>
          <w:kern w:val="24"/>
          <w:szCs w:val="21"/>
          <w:vertAlign w:val="subscript"/>
        </w:rPr>
        <w:t>1</w:t>
      </w:r>
      <w:r>
        <w:rPr>
          <w:rFonts w:hint="eastAsia" w:ascii="黑体" w:hAnsi="黑体" w:eastAsia="黑体"/>
          <w:color w:val="000000"/>
          <w:kern w:val="24"/>
          <w:szCs w:val="21"/>
        </w:rPr>
        <w:t>类以外的车辆电池包或系统随机振动测试曲线</w:t>
      </w:r>
      <w:bookmarkEnd w:id="1102"/>
      <w:bookmarkEnd w:id="1103"/>
    </w:p>
    <w:p>
      <w:pPr>
        <w:pStyle w:val="55"/>
        <w:numPr>
          <w:ilvl w:val="0"/>
          <w:numId w:val="0"/>
        </w:numPr>
        <w:spacing w:before="156" w:after="156"/>
        <w:jc w:val="center"/>
        <w:rPr>
          <w:rFonts w:hAnsi="黑体"/>
          <w:color w:val="000000"/>
          <w:kern w:val="24"/>
        </w:rPr>
      </w:pPr>
      <w:r>
        <w:rPr>
          <w:rFonts w:hint="eastAsia" w:hAnsi="黑体"/>
          <w:color w:val="000000"/>
          <w:kern w:val="24"/>
        </w:rPr>
        <w:t>表</w:t>
      </w:r>
      <w:r>
        <w:rPr>
          <w:rFonts w:hAnsi="黑体"/>
          <w:color w:val="000000"/>
          <w:kern w:val="24"/>
        </w:rPr>
        <w:t xml:space="preserve">3 </w:t>
      </w:r>
      <w:r>
        <w:rPr>
          <w:rFonts w:hint="eastAsia" w:hAnsi="黑体"/>
          <w:color w:val="000000"/>
          <w:kern w:val="24"/>
        </w:rPr>
        <w:t xml:space="preserve"> </w:t>
      </w:r>
      <w:r>
        <w:rPr>
          <w:rFonts w:hAnsi="黑体"/>
          <w:color w:val="000000"/>
          <w:kern w:val="24"/>
        </w:rPr>
        <w:t>M</w:t>
      </w:r>
      <w:r>
        <w:rPr>
          <w:rFonts w:hAnsi="黑体"/>
          <w:color w:val="000000"/>
          <w:kern w:val="24"/>
          <w:vertAlign w:val="subscript"/>
        </w:rPr>
        <w:t>1</w:t>
      </w:r>
      <w:r>
        <w:rPr>
          <w:rFonts w:hint="eastAsia" w:hAnsi="黑体"/>
          <w:color w:val="000000"/>
          <w:kern w:val="24"/>
        </w:rPr>
        <w:t>、</w:t>
      </w:r>
      <w:r>
        <w:rPr>
          <w:rFonts w:hAnsi="黑体"/>
          <w:color w:val="000000"/>
          <w:kern w:val="24"/>
        </w:rPr>
        <w:t>N</w:t>
      </w:r>
      <w:r>
        <w:rPr>
          <w:rFonts w:hAnsi="黑体"/>
          <w:color w:val="000000"/>
          <w:kern w:val="24"/>
          <w:vertAlign w:val="subscript"/>
        </w:rPr>
        <w:t>1</w:t>
      </w:r>
      <w:r>
        <w:rPr>
          <w:rFonts w:hint="eastAsia" w:hAnsi="黑体"/>
          <w:color w:val="000000"/>
          <w:kern w:val="24"/>
        </w:rPr>
        <w:t>类车辆电池包或系统的振动测试条件</w:t>
      </w:r>
    </w:p>
    <w:tbl>
      <w:tblPr>
        <w:tblStyle w:val="33"/>
        <w:tblW w:w="9220" w:type="dxa"/>
        <w:jc w:val="center"/>
        <w:tblLayout w:type="fixed"/>
        <w:tblCellMar>
          <w:top w:w="0" w:type="dxa"/>
          <w:left w:w="108" w:type="dxa"/>
          <w:bottom w:w="0" w:type="dxa"/>
          <w:right w:w="108" w:type="dxa"/>
        </w:tblCellMar>
      </w:tblPr>
      <w:tblGrid>
        <w:gridCol w:w="1321"/>
        <w:gridCol w:w="2633"/>
        <w:gridCol w:w="2633"/>
        <w:gridCol w:w="2633"/>
      </w:tblGrid>
      <w:tr>
        <w:tblPrEx>
          <w:tblCellMar>
            <w:top w:w="0" w:type="dxa"/>
            <w:left w:w="108" w:type="dxa"/>
            <w:bottom w:w="0" w:type="dxa"/>
            <w:right w:w="108" w:type="dxa"/>
          </w:tblCellMar>
        </w:tblPrEx>
        <w:trPr>
          <w:trHeight w:val="126" w:hRule="atLeast"/>
          <w:jc w:val="center"/>
        </w:trPr>
        <w:tc>
          <w:tcPr>
            <w:tcW w:w="92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color w:val="000000"/>
                <w:kern w:val="0"/>
                <w:sz w:val="18"/>
                <w:szCs w:val="18"/>
              </w:rPr>
              <w:t>随机振动</w:t>
            </w:r>
            <w:r>
              <w:rPr>
                <w:rFonts w:hint="eastAsia" w:asciiTheme="majorEastAsia" w:hAnsiTheme="majorEastAsia" w:eastAsiaTheme="majorEastAsia"/>
                <w:kern w:val="0"/>
                <w:sz w:val="18"/>
                <w:szCs w:val="18"/>
              </w:rPr>
              <w:t>（每个方向测试时间为1</w:t>
            </w:r>
            <w:r>
              <w:rPr>
                <w:rFonts w:asciiTheme="majorEastAsia" w:hAnsiTheme="majorEastAsia" w:eastAsiaTheme="majorEastAsia"/>
                <w:kern w:val="0"/>
                <w:sz w:val="18"/>
                <w:szCs w:val="18"/>
              </w:rPr>
              <w:t xml:space="preserve">2 </w:t>
            </w:r>
            <w:r>
              <w:rPr>
                <w:rFonts w:hint="eastAsia" w:asciiTheme="majorEastAsia" w:hAnsiTheme="majorEastAsia" w:eastAsiaTheme="majorEastAsia"/>
                <w:kern w:val="0"/>
                <w:sz w:val="18"/>
                <w:szCs w:val="18"/>
              </w:rPr>
              <w:t>h）</w:t>
            </w:r>
          </w:p>
        </w:tc>
      </w:tr>
      <w:tr>
        <w:tblPrEx>
          <w:tblCellMar>
            <w:top w:w="0" w:type="dxa"/>
            <w:left w:w="108" w:type="dxa"/>
            <w:bottom w:w="0" w:type="dxa"/>
            <w:right w:w="108" w:type="dxa"/>
          </w:tblCellMar>
        </w:tblPrEx>
        <w:trPr>
          <w:trHeight w:val="558"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color w:val="000000"/>
                <w:kern w:val="0"/>
                <w:sz w:val="18"/>
                <w:szCs w:val="18"/>
              </w:rPr>
              <w:t>频率</w:t>
            </w:r>
          </w:p>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Hz</w:t>
            </w:r>
          </w:p>
          <w:p>
            <w:pPr>
              <w:widowControl/>
              <w:jc w:val="center"/>
              <w:rPr>
                <w:rFonts w:asciiTheme="majorEastAsia" w:hAnsiTheme="majorEastAsia" w:eastAsiaTheme="majorEastAsia"/>
                <w:color w:val="000000"/>
                <w:kern w:val="0"/>
                <w:sz w:val="18"/>
                <w:szCs w:val="18"/>
              </w:rPr>
            </w:pPr>
          </w:p>
        </w:tc>
        <w:tc>
          <w:tcPr>
            <w:tcW w:w="26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z</w:t>
            </w:r>
            <w:r>
              <w:rPr>
                <w:rFonts w:hint="eastAsia" w:asciiTheme="majorEastAsia" w:hAnsiTheme="majorEastAsia" w:eastAsiaTheme="majorEastAsia"/>
                <w:color w:val="000000"/>
                <w:kern w:val="0"/>
                <w:sz w:val="18"/>
                <w:szCs w:val="18"/>
              </w:rPr>
              <w:t>轴功率谱密（</w:t>
            </w:r>
            <w:r>
              <w:rPr>
                <w:rFonts w:asciiTheme="majorEastAsia" w:hAnsiTheme="majorEastAsia" w:eastAsiaTheme="majorEastAsia"/>
                <w:color w:val="000000"/>
                <w:kern w:val="0"/>
                <w:sz w:val="18"/>
                <w:szCs w:val="18"/>
              </w:rPr>
              <w:t>PSD</w:t>
            </w:r>
            <w:r>
              <w:rPr>
                <w:rFonts w:hint="eastAsia" w:asciiTheme="majorEastAsia" w:hAnsiTheme="majorEastAsia" w:eastAsiaTheme="majorEastAsia"/>
                <w:color w:val="000000"/>
                <w:kern w:val="0"/>
                <w:sz w:val="18"/>
                <w:szCs w:val="18"/>
              </w:rPr>
              <w:t>）</w:t>
            </w:r>
            <w:r>
              <w:rPr>
                <w:rFonts w:asciiTheme="majorEastAsia" w:hAnsiTheme="majorEastAsia" w:eastAsiaTheme="majorEastAsia"/>
                <w:color w:val="000000"/>
                <w:kern w:val="0"/>
                <w:sz w:val="18"/>
                <w:szCs w:val="18"/>
              </w:rPr>
              <w:t xml:space="preserve">                    g²/Hz</w:t>
            </w:r>
          </w:p>
        </w:tc>
        <w:tc>
          <w:tcPr>
            <w:tcW w:w="26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y</w:t>
            </w:r>
            <w:r>
              <w:rPr>
                <w:rFonts w:hint="eastAsia" w:asciiTheme="majorEastAsia" w:hAnsiTheme="majorEastAsia" w:eastAsiaTheme="majorEastAsia"/>
                <w:color w:val="000000"/>
                <w:kern w:val="0"/>
                <w:sz w:val="18"/>
                <w:szCs w:val="18"/>
              </w:rPr>
              <w:t>轴功率谱密（</w:t>
            </w:r>
            <w:r>
              <w:rPr>
                <w:rFonts w:asciiTheme="majorEastAsia" w:hAnsiTheme="majorEastAsia" w:eastAsiaTheme="majorEastAsia"/>
                <w:color w:val="000000"/>
                <w:kern w:val="0"/>
                <w:sz w:val="18"/>
                <w:szCs w:val="18"/>
              </w:rPr>
              <w:t>PSD</w:t>
            </w:r>
            <w:r>
              <w:rPr>
                <w:rFonts w:hint="eastAsia" w:asciiTheme="majorEastAsia" w:hAnsiTheme="majorEastAsia" w:eastAsiaTheme="majorEastAsia"/>
                <w:color w:val="000000"/>
                <w:kern w:val="0"/>
                <w:sz w:val="18"/>
                <w:szCs w:val="18"/>
              </w:rPr>
              <w:t>）</w:t>
            </w:r>
            <w:r>
              <w:rPr>
                <w:rFonts w:asciiTheme="majorEastAsia" w:hAnsiTheme="majorEastAsia" w:eastAsiaTheme="majorEastAsia"/>
                <w:color w:val="000000"/>
                <w:kern w:val="0"/>
                <w:sz w:val="18"/>
                <w:szCs w:val="18"/>
              </w:rPr>
              <w:t xml:space="preserve">                       g²/Hz</w:t>
            </w:r>
          </w:p>
        </w:tc>
        <w:tc>
          <w:tcPr>
            <w:tcW w:w="26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x</w:t>
            </w:r>
            <w:r>
              <w:rPr>
                <w:rFonts w:hint="eastAsia" w:asciiTheme="majorEastAsia" w:hAnsiTheme="majorEastAsia" w:eastAsiaTheme="majorEastAsia"/>
                <w:color w:val="000000"/>
                <w:kern w:val="0"/>
                <w:sz w:val="18"/>
                <w:szCs w:val="18"/>
              </w:rPr>
              <w:t>轴功率谱密（</w:t>
            </w:r>
            <w:r>
              <w:rPr>
                <w:rFonts w:asciiTheme="majorEastAsia" w:hAnsiTheme="majorEastAsia" w:eastAsiaTheme="majorEastAsia"/>
                <w:color w:val="000000"/>
                <w:kern w:val="0"/>
                <w:sz w:val="18"/>
                <w:szCs w:val="18"/>
              </w:rPr>
              <w:t>PSD</w:t>
            </w:r>
            <w:r>
              <w:rPr>
                <w:rFonts w:hint="eastAsia" w:asciiTheme="majorEastAsia" w:hAnsiTheme="majorEastAsia" w:eastAsiaTheme="majorEastAsia"/>
                <w:color w:val="000000"/>
                <w:kern w:val="0"/>
                <w:sz w:val="18"/>
                <w:szCs w:val="18"/>
              </w:rPr>
              <w:t>）</w:t>
            </w:r>
            <w:r>
              <w:rPr>
                <w:rFonts w:asciiTheme="majorEastAsia" w:hAnsiTheme="majorEastAsia" w:eastAsiaTheme="majorEastAsia"/>
                <w:color w:val="000000"/>
                <w:kern w:val="0"/>
                <w:sz w:val="18"/>
                <w:szCs w:val="18"/>
              </w:rPr>
              <w:t xml:space="preserve">                       g²/Hz</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5</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0.015</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0.002</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0.006</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10</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0.005</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15</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0.015</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20</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0.005</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30</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nil"/>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0.006</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65</w:t>
            </w:r>
          </w:p>
        </w:tc>
        <w:tc>
          <w:tcPr>
            <w:tcW w:w="263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0.001</w:t>
            </w:r>
          </w:p>
        </w:tc>
        <w:tc>
          <w:tcPr>
            <w:tcW w:w="263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100</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0.001</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200</w:t>
            </w:r>
          </w:p>
        </w:tc>
        <w:tc>
          <w:tcPr>
            <w:tcW w:w="263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0.0001</w:t>
            </w:r>
          </w:p>
        </w:tc>
        <w:tc>
          <w:tcPr>
            <w:tcW w:w="263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0.00015</w:t>
            </w:r>
          </w:p>
        </w:tc>
        <w:tc>
          <w:tcPr>
            <w:tcW w:w="263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0.00003</w:t>
            </w:r>
          </w:p>
        </w:tc>
      </w:tr>
      <w:tr>
        <w:tblPrEx>
          <w:tblCellMar>
            <w:top w:w="0" w:type="dxa"/>
            <w:left w:w="108" w:type="dxa"/>
            <w:bottom w:w="0" w:type="dxa"/>
            <w:right w:w="108" w:type="dxa"/>
          </w:tblCellMar>
        </w:tblPrEx>
        <w:trPr>
          <w:trHeight w:val="270" w:hRule="atLeast"/>
          <w:jc w:val="center"/>
        </w:trPr>
        <w:tc>
          <w:tcPr>
            <w:tcW w:w="1321" w:type="dxa"/>
            <w:vMerge w:val="restart"/>
            <w:tcBorders>
              <w:top w:val="single" w:color="auto" w:sz="4" w:space="0"/>
              <w:left w:val="single" w:color="auto" w:sz="4" w:space="0"/>
              <w:right w:val="single" w:color="auto" w:sz="4" w:space="0"/>
            </w:tcBorders>
            <w:shd w:val="clear" w:color="auto" w:fill="auto"/>
            <w:noWrap/>
            <w:vAlign w:val="center"/>
          </w:tcPr>
          <w:p>
            <w:pPr>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color w:val="000000"/>
                <w:kern w:val="0"/>
                <w:sz w:val="18"/>
                <w:szCs w:val="18"/>
              </w:rPr>
              <w:t>均方根（R</w:t>
            </w:r>
            <w:r>
              <w:rPr>
                <w:rFonts w:asciiTheme="majorEastAsia" w:hAnsiTheme="majorEastAsia" w:eastAsiaTheme="majorEastAsia"/>
                <w:color w:val="000000"/>
                <w:kern w:val="0"/>
                <w:sz w:val="18"/>
                <w:szCs w:val="18"/>
              </w:rPr>
              <w:t>MS</w:t>
            </w:r>
            <w:r>
              <w:rPr>
                <w:rFonts w:hint="eastAsia" w:asciiTheme="majorEastAsia" w:hAnsiTheme="majorEastAsia" w:eastAsiaTheme="majorEastAsia"/>
                <w:color w:val="000000"/>
                <w:kern w:val="0"/>
                <w:sz w:val="18"/>
                <w:szCs w:val="18"/>
              </w:rPr>
              <w:t>）</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z</w:t>
            </w:r>
            <w:r>
              <w:rPr>
                <w:rFonts w:hint="eastAsia" w:asciiTheme="majorEastAsia" w:hAnsiTheme="majorEastAsia" w:eastAsiaTheme="majorEastAsia"/>
                <w:color w:val="000000"/>
                <w:kern w:val="0"/>
                <w:sz w:val="18"/>
                <w:szCs w:val="18"/>
              </w:rPr>
              <w:t>轴</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color w:val="000000"/>
                <w:kern w:val="0"/>
                <w:sz w:val="18"/>
                <w:szCs w:val="18"/>
              </w:rPr>
              <w:t>y轴</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x</w:t>
            </w:r>
            <w:r>
              <w:rPr>
                <w:rFonts w:hint="eastAsia" w:asciiTheme="majorEastAsia" w:hAnsiTheme="majorEastAsia" w:eastAsiaTheme="majorEastAsia"/>
                <w:color w:val="000000"/>
                <w:kern w:val="0"/>
                <w:sz w:val="18"/>
                <w:szCs w:val="18"/>
              </w:rPr>
              <w:t>轴</w:t>
            </w:r>
          </w:p>
        </w:tc>
      </w:tr>
      <w:tr>
        <w:tblPrEx>
          <w:tblCellMar>
            <w:top w:w="0" w:type="dxa"/>
            <w:left w:w="108" w:type="dxa"/>
            <w:bottom w:w="0" w:type="dxa"/>
            <w:right w:w="108" w:type="dxa"/>
          </w:tblCellMar>
        </w:tblPrEx>
        <w:trPr>
          <w:trHeight w:val="270" w:hRule="atLeast"/>
          <w:jc w:val="center"/>
        </w:trPr>
        <w:tc>
          <w:tcPr>
            <w:tcW w:w="1321" w:type="dxa"/>
            <w:vMerge w:val="continue"/>
            <w:tcBorders>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0.64 g</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0.45 g</w:t>
            </w:r>
          </w:p>
        </w:tc>
        <w:tc>
          <w:tcPr>
            <w:tcW w:w="2633"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0.50 g</w:t>
            </w:r>
          </w:p>
        </w:tc>
      </w:tr>
      <w:tr>
        <w:tblPrEx>
          <w:tblCellMar>
            <w:top w:w="0" w:type="dxa"/>
            <w:left w:w="108" w:type="dxa"/>
            <w:bottom w:w="0" w:type="dxa"/>
            <w:right w:w="108" w:type="dxa"/>
          </w:tblCellMar>
        </w:tblPrEx>
        <w:trPr>
          <w:trHeight w:val="270" w:hRule="atLeast"/>
          <w:jc w:val="center"/>
        </w:trPr>
        <w:tc>
          <w:tcPr>
            <w:tcW w:w="9220" w:type="dxa"/>
            <w:gridSpan w:val="4"/>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color w:val="000000"/>
                <w:kern w:val="0"/>
                <w:sz w:val="18"/>
                <w:szCs w:val="18"/>
              </w:rPr>
              <w:t>正弦定频振动</w:t>
            </w:r>
            <w:r>
              <w:rPr>
                <w:rFonts w:hint="eastAsia" w:asciiTheme="majorEastAsia" w:hAnsiTheme="majorEastAsia" w:eastAsiaTheme="majorEastAsia"/>
                <w:kern w:val="0"/>
                <w:sz w:val="18"/>
                <w:szCs w:val="18"/>
              </w:rPr>
              <w:t>（每个方向测试时间为</w:t>
            </w:r>
            <w:r>
              <w:rPr>
                <w:rFonts w:asciiTheme="majorEastAsia" w:hAnsiTheme="majorEastAsia" w:eastAsiaTheme="majorEastAsia"/>
                <w:kern w:val="0"/>
                <w:sz w:val="18"/>
                <w:szCs w:val="18"/>
              </w:rPr>
              <w:t xml:space="preserve">1 </w:t>
            </w:r>
            <w:r>
              <w:rPr>
                <w:rFonts w:hint="eastAsia" w:asciiTheme="majorEastAsia" w:hAnsiTheme="majorEastAsia" w:eastAsiaTheme="majorEastAsia"/>
                <w:kern w:val="0"/>
                <w:sz w:val="18"/>
                <w:szCs w:val="18"/>
              </w:rPr>
              <w:t>h）</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color w:val="000000"/>
                <w:kern w:val="0"/>
                <w:sz w:val="18"/>
                <w:szCs w:val="18"/>
              </w:rPr>
              <w:t>频率</w:t>
            </w:r>
          </w:p>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color w:val="000000"/>
                <w:kern w:val="0"/>
                <w:sz w:val="18"/>
                <w:szCs w:val="18"/>
              </w:rPr>
              <w:t>Hz</w:t>
            </w:r>
          </w:p>
        </w:tc>
        <w:tc>
          <w:tcPr>
            <w:tcW w:w="26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z</w:t>
            </w:r>
            <w:r>
              <w:rPr>
                <w:rFonts w:hint="eastAsia" w:asciiTheme="majorEastAsia" w:hAnsiTheme="majorEastAsia" w:eastAsiaTheme="majorEastAsia"/>
                <w:kern w:val="0"/>
                <w:sz w:val="18"/>
                <w:szCs w:val="18"/>
              </w:rPr>
              <w:t>轴定频幅值</w:t>
            </w:r>
          </w:p>
        </w:tc>
        <w:tc>
          <w:tcPr>
            <w:tcW w:w="26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y</w:t>
            </w:r>
            <w:r>
              <w:rPr>
                <w:rFonts w:hint="eastAsia" w:asciiTheme="majorEastAsia" w:hAnsiTheme="majorEastAsia" w:eastAsiaTheme="majorEastAsia"/>
                <w:kern w:val="0"/>
                <w:sz w:val="18"/>
                <w:szCs w:val="18"/>
              </w:rPr>
              <w:t>轴定频幅值</w:t>
            </w:r>
          </w:p>
        </w:tc>
        <w:tc>
          <w:tcPr>
            <w:tcW w:w="26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kern w:val="0"/>
                <w:sz w:val="18"/>
                <w:szCs w:val="18"/>
              </w:rPr>
            </w:pPr>
            <w:r>
              <w:rPr>
                <w:rFonts w:asciiTheme="majorEastAsia" w:hAnsiTheme="majorEastAsia" w:eastAsiaTheme="majorEastAsia"/>
                <w:kern w:val="0"/>
                <w:sz w:val="18"/>
                <w:szCs w:val="18"/>
              </w:rPr>
              <w:t>x</w:t>
            </w:r>
            <w:r>
              <w:rPr>
                <w:rFonts w:hint="eastAsia" w:asciiTheme="majorEastAsia" w:hAnsiTheme="majorEastAsia" w:eastAsiaTheme="majorEastAsia"/>
                <w:kern w:val="0"/>
                <w:sz w:val="18"/>
                <w:szCs w:val="18"/>
              </w:rPr>
              <w:t>轴定频幅值</w:t>
            </w:r>
          </w:p>
        </w:tc>
      </w:tr>
      <w:tr>
        <w:tblPrEx>
          <w:tblCellMar>
            <w:top w:w="0" w:type="dxa"/>
            <w:left w:w="108" w:type="dxa"/>
            <w:bottom w:w="0" w:type="dxa"/>
            <w:right w:w="108" w:type="dxa"/>
          </w:tblCellMar>
        </w:tblPrEx>
        <w:trPr>
          <w:trHeight w:val="270" w:hRule="atLeast"/>
          <w:jc w:val="center"/>
        </w:trPr>
        <w:tc>
          <w:tcPr>
            <w:tcW w:w="1321"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Theme="majorEastAsia" w:hAnsiTheme="majorEastAsia" w:eastAsiaTheme="majorEastAsia"/>
                <w:color w:val="000000"/>
                <w:kern w:val="0"/>
                <w:sz w:val="18"/>
                <w:szCs w:val="18"/>
              </w:rPr>
            </w:pPr>
            <w:r>
              <w:rPr>
                <w:rFonts w:hint="eastAsia" w:asciiTheme="majorEastAsia" w:hAnsiTheme="majorEastAsia" w:eastAsiaTheme="majorEastAsia"/>
                <w:kern w:val="0"/>
                <w:sz w:val="18"/>
                <w:szCs w:val="18"/>
              </w:rPr>
              <w:t>2</w:t>
            </w:r>
            <w:r>
              <w:rPr>
                <w:rFonts w:asciiTheme="majorEastAsia" w:hAnsiTheme="majorEastAsia" w:eastAsiaTheme="majorEastAsia"/>
                <w:kern w:val="0"/>
                <w:sz w:val="18"/>
                <w:szCs w:val="18"/>
              </w:rPr>
              <w:t>4</w:t>
            </w:r>
          </w:p>
        </w:tc>
        <w:tc>
          <w:tcPr>
            <w:tcW w:w="26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kern w:val="0"/>
                <w:sz w:val="18"/>
                <w:szCs w:val="18"/>
              </w:rPr>
              <w:t>±1.5</w:t>
            </w:r>
            <w:r>
              <w:rPr>
                <w:rFonts w:asciiTheme="majorEastAsia" w:hAnsiTheme="majorEastAsia" w:eastAsiaTheme="majorEastAsia"/>
                <w:color w:val="000000"/>
                <w:kern w:val="0"/>
                <w:sz w:val="18"/>
                <w:szCs w:val="18"/>
              </w:rPr>
              <w:t xml:space="preserve"> g</w:t>
            </w:r>
          </w:p>
        </w:tc>
        <w:tc>
          <w:tcPr>
            <w:tcW w:w="26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kern w:val="0"/>
                <w:sz w:val="18"/>
                <w:szCs w:val="18"/>
              </w:rPr>
              <w:t>±1.0</w:t>
            </w:r>
            <w:r>
              <w:rPr>
                <w:rFonts w:asciiTheme="majorEastAsia" w:hAnsiTheme="majorEastAsia" w:eastAsiaTheme="majorEastAsia"/>
                <w:color w:val="000000"/>
                <w:kern w:val="0"/>
                <w:sz w:val="18"/>
                <w:szCs w:val="18"/>
              </w:rPr>
              <w:t xml:space="preserve"> g</w:t>
            </w:r>
          </w:p>
        </w:tc>
        <w:tc>
          <w:tcPr>
            <w:tcW w:w="26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ajorEastAsia" w:hAnsiTheme="majorEastAsia" w:eastAsiaTheme="majorEastAsia"/>
                <w:color w:val="000000"/>
                <w:kern w:val="0"/>
                <w:sz w:val="18"/>
                <w:szCs w:val="18"/>
              </w:rPr>
            </w:pPr>
            <w:r>
              <w:rPr>
                <w:rFonts w:asciiTheme="majorEastAsia" w:hAnsiTheme="majorEastAsia" w:eastAsiaTheme="majorEastAsia"/>
                <w:kern w:val="0"/>
                <w:sz w:val="18"/>
                <w:szCs w:val="18"/>
              </w:rPr>
              <w:t>±1.0</w:t>
            </w:r>
            <w:r>
              <w:rPr>
                <w:rFonts w:asciiTheme="majorEastAsia" w:hAnsiTheme="majorEastAsia" w:eastAsiaTheme="majorEastAsia"/>
                <w:color w:val="000000"/>
                <w:kern w:val="0"/>
                <w:sz w:val="18"/>
                <w:szCs w:val="18"/>
              </w:rPr>
              <w:t xml:space="preserve"> g</w:t>
            </w:r>
          </w:p>
        </w:tc>
      </w:tr>
    </w:tbl>
    <w:p>
      <w:pPr>
        <w:pStyle w:val="23"/>
        <w:spacing w:before="312" w:beforeLines="100"/>
        <w:ind w:firstLine="0" w:firstLineChars="0"/>
        <w:jc w:val="center"/>
      </w:pPr>
      <w:r>
        <w:drawing>
          <wp:inline distT="0" distB="0" distL="0" distR="0">
            <wp:extent cx="3959860" cy="2096770"/>
            <wp:effectExtent l="0" t="0" r="2540" b="17780"/>
            <wp:docPr id="203" name="图表 20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5"/>
        <w:numPr>
          <w:ilvl w:val="0"/>
          <w:numId w:val="0"/>
        </w:numPr>
        <w:spacing w:before="156" w:after="156"/>
        <w:jc w:val="center"/>
        <w:rPr>
          <w:rFonts w:hAnsi="黑体"/>
          <w:color w:val="000000"/>
          <w:kern w:val="24"/>
        </w:rPr>
      </w:pPr>
      <w:bookmarkStart w:id="1104" w:name="_Toc467700709"/>
      <w:bookmarkStart w:id="1105" w:name="_Toc468729533"/>
      <w:r>
        <w:rPr>
          <w:rFonts w:hint="eastAsia" w:hAnsi="黑体"/>
          <w:color w:val="000000"/>
          <w:kern w:val="24"/>
        </w:rPr>
        <w:t>图3</w:t>
      </w:r>
      <w:r>
        <w:rPr>
          <w:rFonts w:hAnsi="黑体"/>
          <w:color w:val="000000"/>
          <w:kern w:val="24"/>
        </w:rPr>
        <w:t xml:space="preserve"> M</w:t>
      </w:r>
      <w:r>
        <w:rPr>
          <w:rFonts w:hAnsi="黑体"/>
          <w:color w:val="000000"/>
          <w:kern w:val="24"/>
          <w:vertAlign w:val="subscript"/>
        </w:rPr>
        <w:t>1</w:t>
      </w:r>
      <w:r>
        <w:rPr>
          <w:rFonts w:hint="eastAsia" w:hAnsi="黑体"/>
          <w:color w:val="000000"/>
          <w:kern w:val="24"/>
        </w:rPr>
        <w:t>、</w:t>
      </w:r>
      <w:r>
        <w:rPr>
          <w:rFonts w:hAnsi="黑体"/>
          <w:color w:val="000000"/>
          <w:kern w:val="24"/>
        </w:rPr>
        <w:t>N</w:t>
      </w:r>
      <w:r>
        <w:rPr>
          <w:rFonts w:hAnsi="黑体"/>
          <w:color w:val="000000"/>
          <w:kern w:val="24"/>
          <w:vertAlign w:val="subscript"/>
        </w:rPr>
        <w:t>1</w:t>
      </w:r>
      <w:r>
        <w:rPr>
          <w:rFonts w:hint="eastAsia" w:hAnsi="黑体"/>
          <w:color w:val="000000"/>
          <w:kern w:val="24"/>
        </w:rPr>
        <w:t>类车辆电池包或系统随机振动测试曲线</w:t>
      </w:r>
      <w:bookmarkEnd w:id="1104"/>
      <w:bookmarkEnd w:id="1105"/>
    </w:p>
    <w:p>
      <w:pPr>
        <w:pStyle w:val="51"/>
        <w:spacing w:before="156" w:after="156"/>
        <w:ind w:left="0" w:firstLine="0"/>
        <w:rPr>
          <w:rFonts w:ascii="Times New Roman" w:eastAsiaTheme="minorEastAsia"/>
          <w:color w:val="000000"/>
          <w:kern w:val="24"/>
        </w:rPr>
      </w:pPr>
      <w:r>
        <w:rPr>
          <w:rFonts w:hint="eastAsia" w:ascii="Times New Roman" w:eastAsiaTheme="minorEastAsia"/>
          <w:color w:val="000000"/>
          <w:kern w:val="24"/>
        </w:rPr>
        <w:t>试验过程中，监控试验对象内部最小监控单元的状态，如电压和温度等。</w:t>
      </w:r>
    </w:p>
    <w:p>
      <w:pPr>
        <w:pStyle w:val="51"/>
        <w:spacing w:before="156" w:after="156"/>
        <w:ind w:left="0" w:firstLine="0"/>
      </w:pPr>
      <w:r>
        <w:rPr>
          <w:rFonts w:hint="eastAsia" w:ascii="Times New Roman" w:eastAsia="宋体"/>
          <w:szCs w:val="20"/>
        </w:rPr>
        <w:t>完成以上试验</w:t>
      </w:r>
      <w:r>
        <w:rPr>
          <w:rFonts w:ascii="Times New Roman" w:eastAsia="宋体"/>
          <w:szCs w:val="20"/>
        </w:rPr>
        <w:t>步骤后</w:t>
      </w:r>
      <w:r>
        <w:rPr>
          <w:rFonts w:hint="eastAsia" w:ascii="Times New Roman" w:eastAsiaTheme="minorEastAsia"/>
          <w:color w:val="000000"/>
          <w:kern w:val="24"/>
        </w:rPr>
        <w:t>，在试验环境温度下观察2</w:t>
      </w:r>
      <w:r>
        <w:rPr>
          <w:rFonts w:ascii="Times New Roman" w:eastAsiaTheme="minorEastAsia"/>
          <w:color w:val="000000"/>
          <w:kern w:val="24"/>
        </w:rPr>
        <w:t xml:space="preserve"> </w:t>
      </w:r>
      <w:r>
        <w:rPr>
          <w:rFonts w:hint="eastAsia" w:ascii="Times New Roman" w:eastAsiaTheme="minorEastAsia"/>
          <w:color w:val="000000"/>
          <w:kern w:val="24"/>
        </w:rPr>
        <w:t>h。</w:t>
      </w:r>
      <w:r>
        <w:t xml:space="preserve"> </w:t>
      </w:r>
    </w:p>
    <w:p>
      <w:pPr>
        <w:pStyle w:val="46"/>
        <w:spacing w:before="156" w:after="156"/>
        <w:ind w:left="2"/>
        <w:outlineLvl w:val="2"/>
        <w:rPr>
          <w:rFonts w:hAnsi="黑体"/>
        </w:rPr>
      </w:pPr>
      <w:bookmarkStart w:id="1106" w:name="_Toc513232537"/>
      <w:bookmarkEnd w:id="1106"/>
      <w:bookmarkStart w:id="1107" w:name="_Toc513232538"/>
      <w:bookmarkEnd w:id="1107"/>
      <w:bookmarkStart w:id="1108" w:name="_Toc513232510"/>
      <w:bookmarkEnd w:id="1108"/>
      <w:bookmarkStart w:id="1109" w:name="_Toc513232536"/>
      <w:bookmarkEnd w:id="1109"/>
      <w:bookmarkStart w:id="1110" w:name="_Toc513232509"/>
      <w:bookmarkEnd w:id="1110"/>
      <w:bookmarkStart w:id="1111" w:name="_Toc513232507"/>
      <w:bookmarkEnd w:id="1111"/>
      <w:bookmarkStart w:id="1112" w:name="_Toc513232535"/>
      <w:bookmarkEnd w:id="1112"/>
      <w:bookmarkStart w:id="1113" w:name="_Toc513232508"/>
      <w:bookmarkEnd w:id="1113"/>
      <w:bookmarkStart w:id="1114" w:name="_Toc468729535"/>
      <w:bookmarkStart w:id="1115" w:name="_Toc513234358"/>
      <w:bookmarkStart w:id="1116" w:name="_Toc450682984"/>
      <w:bookmarkStart w:id="1117" w:name="_Toc504059442"/>
      <w:bookmarkStart w:id="1118" w:name="_Toc513232539"/>
      <w:r>
        <w:rPr>
          <w:rFonts w:hint="eastAsia" w:hAnsi="黑体"/>
        </w:rPr>
        <w:t>机械冲击</w:t>
      </w:r>
      <w:bookmarkEnd w:id="1114"/>
      <w:bookmarkEnd w:id="1115"/>
      <w:bookmarkEnd w:id="1116"/>
      <w:bookmarkEnd w:id="1117"/>
      <w:bookmarkEnd w:id="1118"/>
    </w:p>
    <w:p>
      <w:pPr>
        <w:pStyle w:val="51"/>
        <w:spacing w:before="156" w:after="156"/>
        <w:ind w:left="2" w:hanging="2"/>
        <w:rPr>
          <w:rFonts w:asciiTheme="minorEastAsia" w:hAnsiTheme="minorEastAsia" w:eastAsiaTheme="minorEastAsia"/>
        </w:rPr>
      </w:pPr>
      <w:bookmarkStart w:id="1119" w:name="_Toc468729536"/>
      <w:r>
        <w:rPr>
          <w:rFonts w:hint="eastAsia" w:asciiTheme="minorEastAsia" w:hAnsiTheme="minorEastAsia" w:eastAsiaTheme="minorEastAsia"/>
        </w:rPr>
        <w:t>试验对象为电池包或系统。</w:t>
      </w:r>
      <w:bookmarkEnd w:id="1119"/>
    </w:p>
    <w:p>
      <w:pPr>
        <w:pStyle w:val="51"/>
        <w:spacing w:before="156" w:after="156"/>
        <w:ind w:left="2" w:hanging="2"/>
        <w:rPr>
          <w:rFonts w:ascii="Times New Roman" w:eastAsiaTheme="minorEastAsia"/>
          <w:color w:val="000000"/>
          <w:kern w:val="24"/>
        </w:rPr>
      </w:pPr>
      <w:bookmarkStart w:id="1120" w:name="_Toc467700711"/>
      <w:bookmarkStart w:id="1121" w:name="_Toc468729538"/>
      <w:r>
        <w:rPr>
          <w:rFonts w:hint="eastAsia" w:asciiTheme="minorEastAsia" w:hAnsiTheme="minorEastAsia" w:eastAsiaTheme="minorEastAsia"/>
        </w:rPr>
        <w:t>对试验对象施加表</w:t>
      </w:r>
      <w:r>
        <w:rPr>
          <w:rFonts w:ascii="Times New Roman" w:eastAsiaTheme="minorEastAsia"/>
        </w:rPr>
        <w:t>4</w:t>
      </w:r>
      <w:r>
        <w:rPr>
          <w:rFonts w:hint="eastAsia" w:asciiTheme="minorEastAsia" w:hAnsiTheme="minorEastAsia" w:eastAsiaTheme="minorEastAsia"/>
        </w:rPr>
        <w:t>规定</w:t>
      </w:r>
      <w:r>
        <w:rPr>
          <w:rFonts w:asciiTheme="minorEastAsia" w:hAnsiTheme="minorEastAsia" w:eastAsiaTheme="minorEastAsia"/>
        </w:rPr>
        <w:t>的半正弦冲击波</w:t>
      </w:r>
      <w:r>
        <w:rPr>
          <w:rFonts w:hint="eastAsia" w:asciiTheme="minorEastAsia" w:hAnsiTheme="minorEastAsia" w:eastAsiaTheme="minorEastAsia"/>
        </w:rPr>
        <w:t>，</w:t>
      </w:r>
      <w:r>
        <w:rPr>
          <w:rFonts w:ascii="Times New Roman" w:eastAsiaTheme="minorEastAsia"/>
          <w:color w:val="000000"/>
          <w:kern w:val="24"/>
        </w:rPr>
        <w:t>±z</w:t>
      </w:r>
      <w:r>
        <w:rPr>
          <w:rFonts w:asciiTheme="minorEastAsia" w:hAnsiTheme="minorEastAsia" w:eastAsiaTheme="minorEastAsia"/>
        </w:rPr>
        <w:t>方向</w:t>
      </w:r>
      <w:r>
        <w:rPr>
          <w:rFonts w:hint="eastAsia" w:asciiTheme="minorEastAsia" w:hAnsiTheme="minorEastAsia" w:eastAsiaTheme="minorEastAsia"/>
        </w:rPr>
        <w:t>各</w:t>
      </w:r>
      <w:r>
        <w:rPr>
          <w:rFonts w:ascii="Times New Roman" w:eastAsiaTheme="minorEastAsia"/>
        </w:rPr>
        <w:t>6</w:t>
      </w:r>
      <w:r>
        <w:rPr>
          <w:rFonts w:hint="eastAsia" w:asciiTheme="minorEastAsia" w:hAnsiTheme="minorEastAsia" w:eastAsiaTheme="minorEastAsia"/>
        </w:rPr>
        <w:t>次</w:t>
      </w:r>
      <w:r>
        <w:rPr>
          <w:rFonts w:asciiTheme="minorEastAsia" w:hAnsiTheme="minorEastAsia" w:eastAsiaTheme="minorEastAsia"/>
        </w:rPr>
        <w:t>，</w:t>
      </w:r>
      <w:r>
        <w:rPr>
          <w:rFonts w:hint="eastAsia" w:asciiTheme="minorEastAsia" w:hAnsiTheme="minorEastAsia" w:eastAsiaTheme="minorEastAsia"/>
        </w:rPr>
        <w:t>共计</w:t>
      </w:r>
      <w:r>
        <w:rPr>
          <w:rFonts w:ascii="Times New Roman" w:eastAsiaTheme="minorEastAsia"/>
        </w:rPr>
        <w:t>12</w:t>
      </w:r>
      <w:r>
        <w:rPr>
          <w:rFonts w:hint="eastAsia" w:asciiTheme="minorEastAsia" w:hAnsiTheme="minorEastAsia" w:eastAsiaTheme="minorEastAsia"/>
        </w:rPr>
        <w:t>次</w:t>
      </w:r>
      <w:r>
        <w:rPr>
          <w:rFonts w:hint="eastAsia" w:ascii="Times New Roman" w:eastAsiaTheme="minorEastAsia"/>
          <w:color w:val="000000"/>
          <w:kern w:val="24"/>
        </w:rPr>
        <w:t>。</w:t>
      </w:r>
    </w:p>
    <w:p>
      <w:pPr>
        <w:pStyle w:val="51"/>
        <w:spacing w:before="156" w:after="156"/>
        <w:ind w:left="2" w:hanging="2"/>
        <w:rPr>
          <w:rFonts w:asciiTheme="minorEastAsia" w:hAnsiTheme="minorEastAsia" w:eastAsiaTheme="minorEastAsia"/>
        </w:rPr>
      </w:pPr>
      <w:r>
        <w:rPr>
          <w:rFonts w:hint="eastAsia" w:asciiTheme="minorEastAsia" w:hAnsiTheme="minorEastAsia" w:eastAsiaTheme="minorEastAsia"/>
        </w:rPr>
        <w:t>半正弦</w:t>
      </w:r>
      <w:r>
        <w:rPr>
          <w:rFonts w:asciiTheme="minorEastAsia" w:hAnsiTheme="minorEastAsia" w:eastAsiaTheme="minorEastAsia"/>
        </w:rPr>
        <w:t>冲击波最大、最小</w:t>
      </w:r>
      <w:r>
        <w:rPr>
          <w:rFonts w:hint="eastAsia" w:asciiTheme="minorEastAsia" w:hAnsiTheme="minorEastAsia" w:eastAsiaTheme="minorEastAsia"/>
        </w:rPr>
        <w:t>容差</w:t>
      </w:r>
      <w:r>
        <w:rPr>
          <w:rFonts w:asciiTheme="minorEastAsia" w:hAnsiTheme="minorEastAsia" w:eastAsiaTheme="minorEastAsia"/>
        </w:rPr>
        <w:t>允许范围</w:t>
      </w:r>
      <w:r>
        <w:rPr>
          <w:rFonts w:hint="eastAsia" w:asciiTheme="minorEastAsia" w:hAnsiTheme="minorEastAsia" w:eastAsiaTheme="minorEastAsia"/>
        </w:rPr>
        <w:t>如</w:t>
      </w:r>
      <w:r>
        <w:rPr>
          <w:rFonts w:asciiTheme="minorEastAsia" w:hAnsiTheme="minorEastAsia" w:eastAsiaTheme="minorEastAsia"/>
        </w:rPr>
        <w:t>表</w:t>
      </w:r>
      <w:r>
        <w:rPr>
          <w:rFonts w:ascii="Times New Roman"/>
        </w:rPr>
        <w:t>5</w:t>
      </w:r>
      <w:r>
        <w:rPr>
          <w:rFonts w:hint="eastAsia" w:asciiTheme="minorEastAsia" w:hAnsiTheme="minorEastAsia" w:eastAsiaTheme="minorEastAsia"/>
        </w:rPr>
        <w:t>和</w:t>
      </w:r>
      <w:r>
        <w:rPr>
          <w:rFonts w:asciiTheme="minorEastAsia" w:hAnsiTheme="minorEastAsia" w:eastAsiaTheme="minorEastAsia"/>
        </w:rPr>
        <w:t>图</w:t>
      </w:r>
      <w:r>
        <w:rPr>
          <w:rFonts w:hint="eastAsia" w:ascii="Times New Roman" w:eastAsiaTheme="minorEastAsia"/>
        </w:rPr>
        <w:t>4</w:t>
      </w:r>
      <w:r>
        <w:rPr>
          <w:rFonts w:hint="eastAsia" w:asciiTheme="minorEastAsia" w:hAnsiTheme="minorEastAsia" w:eastAsiaTheme="minorEastAsia"/>
        </w:rPr>
        <w:t>所示</w:t>
      </w:r>
      <w:r>
        <w:rPr>
          <w:rFonts w:asciiTheme="minorEastAsia" w:hAnsiTheme="minorEastAsia" w:eastAsiaTheme="minorEastAsia"/>
        </w:rPr>
        <w:t>。</w:t>
      </w:r>
    </w:p>
    <w:p>
      <w:pPr>
        <w:pStyle w:val="51"/>
        <w:spacing w:before="156" w:after="156"/>
        <w:ind w:left="2" w:hanging="2"/>
        <w:rPr>
          <w:rFonts w:asciiTheme="minorEastAsia" w:hAnsiTheme="minorEastAsia" w:eastAsiaTheme="minorEastAsia"/>
        </w:rPr>
      </w:pPr>
      <w:r>
        <w:rPr>
          <w:rFonts w:hint="eastAsia" w:asciiTheme="minorEastAsia" w:hAnsiTheme="minorEastAsia" w:eastAsiaTheme="minorEastAsia"/>
        </w:rPr>
        <w:t>相邻</w:t>
      </w:r>
      <w:r>
        <w:rPr>
          <w:rFonts w:asciiTheme="minorEastAsia" w:hAnsiTheme="minorEastAsia" w:eastAsiaTheme="minorEastAsia"/>
        </w:rPr>
        <w:t>两次</w:t>
      </w:r>
      <w:r>
        <w:rPr>
          <w:rFonts w:hint="eastAsia" w:asciiTheme="minorEastAsia" w:hAnsiTheme="minorEastAsia" w:eastAsiaTheme="minorEastAsia"/>
        </w:rPr>
        <w:t>冲击</w:t>
      </w:r>
      <w:r>
        <w:rPr>
          <w:rFonts w:asciiTheme="minorEastAsia" w:hAnsiTheme="minorEastAsia" w:eastAsiaTheme="minorEastAsia"/>
        </w:rPr>
        <w:t>的间隔时间</w:t>
      </w:r>
      <w:r>
        <w:rPr>
          <w:rFonts w:hint="eastAsia" w:asciiTheme="minorEastAsia" w:hAnsiTheme="minorEastAsia" w:eastAsiaTheme="minorEastAsia"/>
        </w:rPr>
        <w:t>以两次</w:t>
      </w:r>
      <w:r>
        <w:rPr>
          <w:rFonts w:asciiTheme="minorEastAsia" w:hAnsiTheme="minorEastAsia" w:eastAsiaTheme="minorEastAsia"/>
        </w:rPr>
        <w:t>冲击在</w:t>
      </w:r>
      <w:r>
        <w:rPr>
          <w:rFonts w:hint="eastAsia" w:asciiTheme="minorEastAsia" w:hAnsiTheme="minorEastAsia" w:eastAsiaTheme="minorEastAsia"/>
        </w:rPr>
        <w:t>试验</w:t>
      </w:r>
      <w:r>
        <w:rPr>
          <w:rFonts w:asciiTheme="minorEastAsia" w:hAnsiTheme="minorEastAsia" w:eastAsiaTheme="minorEastAsia"/>
        </w:rPr>
        <w:t>样品上</w:t>
      </w:r>
      <w:r>
        <w:rPr>
          <w:rFonts w:hint="eastAsia" w:asciiTheme="minorEastAsia" w:hAnsiTheme="minorEastAsia" w:eastAsiaTheme="minorEastAsia"/>
        </w:rPr>
        <w:t>造成</w:t>
      </w:r>
      <w:r>
        <w:rPr>
          <w:rFonts w:asciiTheme="minorEastAsia" w:hAnsiTheme="minorEastAsia" w:eastAsiaTheme="minorEastAsia"/>
        </w:rPr>
        <w:t>的响应</w:t>
      </w:r>
      <w:r>
        <w:rPr>
          <w:rFonts w:hint="eastAsia" w:asciiTheme="minorEastAsia" w:hAnsiTheme="minorEastAsia" w:eastAsiaTheme="minorEastAsia"/>
        </w:rPr>
        <w:t>不</w:t>
      </w:r>
      <w:r>
        <w:rPr>
          <w:rFonts w:asciiTheme="minorEastAsia" w:hAnsiTheme="minorEastAsia" w:eastAsiaTheme="minorEastAsia"/>
        </w:rPr>
        <w:t>发生相互</w:t>
      </w:r>
      <w:r>
        <w:rPr>
          <w:rFonts w:hint="eastAsia" w:asciiTheme="minorEastAsia" w:hAnsiTheme="minorEastAsia" w:eastAsiaTheme="minorEastAsia"/>
        </w:rPr>
        <w:t>影响为准</w:t>
      </w:r>
      <w:r>
        <w:rPr>
          <w:rFonts w:asciiTheme="minorEastAsia" w:hAnsiTheme="minorEastAsia" w:eastAsiaTheme="minorEastAsia"/>
        </w:rPr>
        <w:t>，</w:t>
      </w:r>
      <w:r>
        <w:rPr>
          <w:rFonts w:hint="eastAsia" w:asciiTheme="minorEastAsia" w:hAnsiTheme="minorEastAsia" w:eastAsiaTheme="minorEastAsia"/>
        </w:rPr>
        <w:t>一般</w:t>
      </w:r>
      <w:r>
        <w:rPr>
          <w:rFonts w:asciiTheme="minorEastAsia" w:hAnsiTheme="minorEastAsia" w:eastAsiaTheme="minorEastAsia"/>
        </w:rPr>
        <w:t>应不小于</w:t>
      </w:r>
      <w:r>
        <w:rPr>
          <w:rFonts w:ascii="Times New Roman" w:eastAsiaTheme="minorEastAsia"/>
        </w:rPr>
        <w:t>5</w:t>
      </w:r>
      <w:r>
        <w:rPr>
          <w:rFonts w:hint="eastAsia" w:asciiTheme="minorEastAsia" w:hAnsiTheme="minorEastAsia" w:eastAsiaTheme="minorEastAsia"/>
        </w:rPr>
        <w:t>倍冲击</w:t>
      </w:r>
      <w:r>
        <w:rPr>
          <w:rFonts w:asciiTheme="minorEastAsia" w:hAnsiTheme="minorEastAsia" w:eastAsiaTheme="minorEastAsia"/>
        </w:rPr>
        <w:t>脉冲</w:t>
      </w:r>
      <w:r>
        <w:rPr>
          <w:rFonts w:hint="eastAsia" w:asciiTheme="minorEastAsia" w:hAnsiTheme="minorEastAsia" w:eastAsiaTheme="minorEastAsia"/>
        </w:rPr>
        <w:t>持续</w:t>
      </w:r>
      <w:r>
        <w:rPr>
          <w:rFonts w:asciiTheme="minorEastAsia" w:hAnsiTheme="minorEastAsia" w:eastAsiaTheme="minorEastAsia"/>
        </w:rPr>
        <w:t>时间</w:t>
      </w:r>
      <w:r>
        <w:rPr>
          <w:rFonts w:hint="eastAsia" w:asciiTheme="minorEastAsia" w:hAnsiTheme="minorEastAsia" w:eastAsiaTheme="minorEastAsia"/>
        </w:rPr>
        <w:t>。</w:t>
      </w:r>
    </w:p>
    <w:p>
      <w:pPr>
        <w:pStyle w:val="51"/>
        <w:spacing w:before="156" w:after="156"/>
        <w:ind w:left="2" w:hanging="2"/>
        <w:rPr>
          <w:rFonts w:asciiTheme="minorEastAsia" w:hAnsiTheme="minorEastAsia" w:eastAsiaTheme="minorEastAsia"/>
        </w:rPr>
      </w:pPr>
      <w:r>
        <w:rPr>
          <w:rFonts w:hint="eastAsia" w:ascii="Times New Roman" w:eastAsia="宋体"/>
          <w:szCs w:val="20"/>
        </w:rPr>
        <w:t>完成以上试验</w:t>
      </w:r>
      <w:r>
        <w:rPr>
          <w:rFonts w:ascii="Times New Roman" w:eastAsia="宋体"/>
          <w:szCs w:val="20"/>
        </w:rPr>
        <w:t>步骤后</w:t>
      </w:r>
      <w:r>
        <w:rPr>
          <w:rFonts w:hint="eastAsia" w:asciiTheme="minorEastAsia" w:hAnsiTheme="minorEastAsia" w:eastAsiaTheme="minorEastAsia"/>
        </w:rPr>
        <w:t>，在试验环境温度下观察</w:t>
      </w:r>
      <w:r>
        <w:rPr>
          <w:rFonts w:ascii="Times New Roman" w:eastAsiaTheme="minorEastAsia"/>
        </w:rPr>
        <w:t>2 h</w:t>
      </w:r>
      <w:r>
        <w:rPr>
          <w:rFonts w:hint="eastAsia" w:asciiTheme="minorEastAsia" w:hAnsiTheme="minorEastAsia" w:eastAsiaTheme="minorEastAsia"/>
        </w:rPr>
        <w:t>。</w:t>
      </w:r>
      <w:bookmarkEnd w:id="1120"/>
      <w:bookmarkEnd w:id="1121"/>
    </w:p>
    <w:p>
      <w:pPr>
        <w:pStyle w:val="23"/>
        <w:spacing w:before="156" w:beforeLines="50" w:after="156" w:afterLines="50"/>
        <w:ind w:firstLine="0" w:firstLineChars="0"/>
        <w:jc w:val="center"/>
        <w:rPr>
          <w:rFonts w:ascii="黑体" w:hAnsi="黑体" w:eastAsia="黑体"/>
        </w:rPr>
      </w:pPr>
      <w:r>
        <w:rPr>
          <w:rFonts w:hint="eastAsia" w:ascii="黑体" w:hAnsi="黑体" w:eastAsia="黑体"/>
        </w:rPr>
        <w:t>表</w:t>
      </w:r>
      <w:r>
        <w:rPr>
          <w:rFonts w:ascii="黑体" w:hAnsi="黑体" w:eastAsia="黑体"/>
        </w:rPr>
        <w:t xml:space="preserve">4 </w:t>
      </w:r>
      <w:r>
        <w:rPr>
          <w:rFonts w:hint="eastAsia" w:ascii="黑体" w:hAnsi="黑体" w:eastAsia="黑体"/>
        </w:rPr>
        <w:t>机械冲击测试参数</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76"/>
        <w:gridCol w:w="61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64"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测试程序</w:t>
            </w:r>
          </w:p>
        </w:tc>
        <w:tc>
          <w:tcPr>
            <w:tcW w:w="3236"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4"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冲击波形</w:t>
            </w:r>
          </w:p>
        </w:tc>
        <w:tc>
          <w:tcPr>
            <w:tcW w:w="3236"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半正弦波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4"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测试方向</w:t>
            </w:r>
          </w:p>
        </w:tc>
        <w:tc>
          <w:tcPr>
            <w:tcW w:w="3236" w:type="pct"/>
            <w:vAlign w:val="center"/>
          </w:tcPr>
          <w:p>
            <w:pPr>
              <w:pStyle w:val="23"/>
              <w:ind w:firstLine="0" w:firstLineChars="0"/>
              <w:jc w:val="center"/>
              <w:rPr>
                <w:rFonts w:asciiTheme="majorEastAsia" w:hAnsiTheme="majorEastAsia" w:eastAsiaTheme="majorEastAsia"/>
                <w:sz w:val="18"/>
                <w:szCs w:val="18"/>
              </w:rPr>
            </w:pPr>
            <w:r>
              <w:rPr>
                <w:rFonts w:asciiTheme="majorEastAsia" w:hAnsiTheme="majorEastAsia" w:eastAsiaTheme="majorEastAsia"/>
                <w:color w:val="000000"/>
                <w:kern w:val="24"/>
                <w:sz w:val="18"/>
                <w:szCs w:val="18"/>
              </w:rPr>
              <w:t>±z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4"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加速度值</w:t>
            </w:r>
          </w:p>
        </w:tc>
        <w:tc>
          <w:tcPr>
            <w:tcW w:w="3236" w:type="pct"/>
            <w:vAlign w:val="center"/>
          </w:tcPr>
          <w:p>
            <w:pPr>
              <w:pStyle w:val="23"/>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7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4"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脉冲时间/</w:t>
            </w:r>
            <w:r>
              <w:rPr>
                <w:rFonts w:asciiTheme="majorEastAsia" w:hAnsiTheme="majorEastAsia" w:eastAsiaTheme="majorEastAsia"/>
                <w:sz w:val="18"/>
                <w:szCs w:val="18"/>
              </w:rPr>
              <w:t>ms</w:t>
            </w:r>
          </w:p>
        </w:tc>
        <w:tc>
          <w:tcPr>
            <w:tcW w:w="3236" w:type="pct"/>
            <w:vAlign w:val="center"/>
          </w:tcPr>
          <w:p>
            <w:pPr>
              <w:pStyle w:val="23"/>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4"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冲击次数</w:t>
            </w:r>
          </w:p>
        </w:tc>
        <w:tc>
          <w:tcPr>
            <w:tcW w:w="3236" w:type="pc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正负方向各</w:t>
            </w:r>
            <w:r>
              <w:rPr>
                <w:rFonts w:asciiTheme="majorEastAsia" w:hAnsiTheme="majorEastAsia" w:eastAsiaTheme="majorEastAsia"/>
                <w:sz w:val="18"/>
                <w:szCs w:val="18"/>
              </w:rPr>
              <w:t>6</w:t>
            </w:r>
            <w:r>
              <w:rPr>
                <w:rFonts w:hint="eastAsia" w:asciiTheme="majorEastAsia" w:hAnsiTheme="majorEastAsia" w:eastAsiaTheme="majorEastAsia"/>
                <w:sz w:val="18"/>
                <w:szCs w:val="18"/>
              </w:rPr>
              <w:t>次</w:t>
            </w:r>
          </w:p>
        </w:tc>
      </w:tr>
    </w:tbl>
    <w:p>
      <w:pPr>
        <w:pStyle w:val="23"/>
        <w:spacing w:before="312" w:beforeLines="100" w:after="156" w:afterLines="50"/>
        <w:ind w:firstLine="0" w:firstLineChars="0"/>
        <w:jc w:val="center"/>
        <w:rPr>
          <w:rFonts w:ascii="黑体" w:hAnsi="黑体" w:eastAsia="黑体"/>
        </w:rPr>
      </w:pPr>
      <w:r>
        <w:rPr>
          <w:rFonts w:hint="eastAsia" w:ascii="黑体" w:hAnsi="黑体" w:eastAsia="黑体"/>
        </w:rPr>
        <w:t>表</w:t>
      </w:r>
      <w:r>
        <w:rPr>
          <w:rFonts w:ascii="黑体" w:hAnsi="黑体" w:eastAsia="黑体"/>
        </w:rPr>
        <w:t>5</w:t>
      </w:r>
      <w:r>
        <w:rPr>
          <w:rFonts w:hint="eastAsia" w:ascii="黑体" w:hAnsi="黑体" w:eastAsia="黑体"/>
        </w:rPr>
        <w:t xml:space="preserve"> 机械冲击脉冲容差范围</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35"/>
        <w:gridCol w:w="8"/>
        <w:gridCol w:w="3862"/>
        <w:gridCol w:w="37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5" w:type="pct"/>
            <w:gridSpan w:val="2"/>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点</w:t>
            </w:r>
          </w:p>
        </w:tc>
        <w:tc>
          <w:tcPr>
            <w:tcW w:w="2018" w:type="pct"/>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脉宽</w:t>
            </w:r>
          </w:p>
          <w:p>
            <w:pPr>
              <w:jc w:val="center"/>
              <w:rPr>
                <w:rFonts w:asciiTheme="minorEastAsia" w:hAnsiTheme="minorEastAsia" w:eastAsiaTheme="minorEastAsia"/>
                <w:sz w:val="18"/>
                <w:szCs w:val="18"/>
              </w:rPr>
            </w:pPr>
            <w:r>
              <w:rPr>
                <w:rFonts w:asciiTheme="minorEastAsia" w:hAnsiTheme="minorEastAsia" w:eastAsiaTheme="minorEastAsia"/>
                <w:sz w:val="18"/>
                <w:szCs w:val="18"/>
              </w:rPr>
              <w:t>ms</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z</w:t>
            </w:r>
            <w:r>
              <w:rPr>
                <w:rFonts w:hint="eastAsia" w:asciiTheme="minorEastAsia" w:hAnsiTheme="minorEastAsia" w:eastAsiaTheme="minorEastAsia"/>
                <w:sz w:val="18"/>
                <w:szCs w:val="18"/>
              </w:rPr>
              <w:t>方向加速度值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5"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A</w:t>
            </w:r>
          </w:p>
        </w:tc>
        <w:tc>
          <w:tcPr>
            <w:tcW w:w="2018"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1.00</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0.00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5"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B</w:t>
            </w:r>
          </w:p>
        </w:tc>
        <w:tc>
          <w:tcPr>
            <w:tcW w:w="2018"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2.94</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5.95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5"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C</w:t>
            </w:r>
          </w:p>
        </w:tc>
        <w:tc>
          <w:tcPr>
            <w:tcW w:w="2018"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3.06</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5.95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5"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D</w:t>
            </w:r>
          </w:p>
        </w:tc>
        <w:tc>
          <w:tcPr>
            <w:tcW w:w="2018"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5.00</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0.00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1"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E</w:t>
            </w:r>
          </w:p>
        </w:tc>
        <w:tc>
          <w:tcPr>
            <w:tcW w:w="2022"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0.00</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2.68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1"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F</w:t>
            </w:r>
          </w:p>
        </w:tc>
        <w:tc>
          <w:tcPr>
            <w:tcW w:w="2022"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2.00</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8.05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1"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G</w:t>
            </w:r>
          </w:p>
        </w:tc>
        <w:tc>
          <w:tcPr>
            <w:tcW w:w="2022"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4.00</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8.05 </w:t>
            </w:r>
            <w:r>
              <w:rPr>
                <w:rFonts w:ascii="Times New Roman" w:eastAsiaTheme="minorEastAsia"/>
                <w:sz w:val="18"/>
                <w:szCs w:val="18"/>
              </w:rPr>
              <w:t>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1" w:type="pct"/>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H</w:t>
            </w:r>
          </w:p>
        </w:tc>
        <w:tc>
          <w:tcPr>
            <w:tcW w:w="2022" w:type="pct"/>
            <w:gridSpan w:val="2"/>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7.00</w:t>
            </w:r>
          </w:p>
        </w:tc>
        <w:tc>
          <w:tcPr>
            <w:tcW w:w="1967" w:type="pct"/>
            <w:vAlign w:val="center"/>
          </w:tcPr>
          <w:p>
            <w:pPr>
              <w:pStyle w:val="23"/>
              <w:ind w:firstLine="0"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0.00</w:t>
            </w:r>
            <w:r>
              <w:rPr>
                <w:rFonts w:ascii="Times New Roman" w:eastAsiaTheme="minorEastAsia"/>
                <w:sz w:val="18"/>
                <w:szCs w:val="18"/>
              </w:rPr>
              <w:t xml:space="preserve"> g</w:t>
            </w:r>
          </w:p>
        </w:tc>
      </w:tr>
    </w:tbl>
    <w:p>
      <w:pPr>
        <w:pStyle w:val="23"/>
        <w:spacing w:before="156" w:beforeLines="50"/>
        <w:ind w:firstLine="0" w:firstLineChars="0"/>
        <w:jc w:val="center"/>
      </w:pPr>
      <w:r>
        <w:drawing>
          <wp:inline distT="0" distB="0" distL="0" distR="0">
            <wp:extent cx="3172460" cy="1979930"/>
            <wp:effectExtent l="0" t="0" r="889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2463" cy="1980000"/>
                    </a:xfrm>
                    <a:prstGeom prst="rect">
                      <a:avLst/>
                    </a:prstGeom>
                    <a:noFill/>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图4 机械冲击脉冲容差范围示意图</w:t>
      </w:r>
    </w:p>
    <w:p>
      <w:pPr>
        <w:pStyle w:val="46"/>
        <w:spacing w:before="156" w:after="156"/>
        <w:ind w:left="2"/>
        <w:outlineLvl w:val="2"/>
        <w:rPr>
          <w:rFonts w:hAnsi="黑体"/>
        </w:rPr>
      </w:pPr>
      <w:bookmarkStart w:id="1122" w:name="_Toc513232540"/>
      <w:bookmarkStart w:id="1123" w:name="_Toc468729556"/>
      <w:bookmarkStart w:id="1124" w:name="_Toc504059443"/>
      <w:bookmarkStart w:id="1125" w:name="_Toc513234359"/>
      <w:r>
        <w:rPr>
          <w:rFonts w:hint="eastAsia" w:hAnsi="黑体"/>
        </w:rPr>
        <w:t>模拟碰撞</w:t>
      </w:r>
      <w:bookmarkEnd w:id="1122"/>
      <w:bookmarkEnd w:id="1123"/>
      <w:bookmarkEnd w:id="1124"/>
      <w:bookmarkEnd w:id="1125"/>
    </w:p>
    <w:p>
      <w:pPr>
        <w:pStyle w:val="51"/>
        <w:spacing w:before="156" w:after="156"/>
        <w:ind w:left="2" w:hanging="2"/>
        <w:rPr>
          <w:rFonts w:asciiTheme="minorEastAsia" w:hAnsiTheme="minorEastAsia" w:eastAsiaTheme="minorEastAsia"/>
        </w:rPr>
      </w:pPr>
      <w:bookmarkStart w:id="1126" w:name="_Toc468729557"/>
      <w:r>
        <w:rPr>
          <w:rFonts w:hint="eastAsia" w:asciiTheme="minorEastAsia" w:hAnsiTheme="minorEastAsia" w:eastAsiaTheme="minorEastAsia"/>
        </w:rPr>
        <w:t>试验对象为电池包或系统。</w:t>
      </w:r>
      <w:bookmarkEnd w:id="1126"/>
    </w:p>
    <w:p>
      <w:pPr>
        <w:pStyle w:val="51"/>
        <w:spacing w:before="156" w:after="156"/>
        <w:ind w:left="0" w:firstLine="0"/>
        <w:jc w:val="both"/>
        <w:rPr>
          <w:rFonts w:ascii="宋体" w:hAnsi="宋体" w:eastAsia="宋体"/>
        </w:rPr>
      </w:pPr>
      <w:bookmarkStart w:id="1127" w:name="_Toc468729558"/>
      <w:r>
        <w:rPr>
          <w:rFonts w:hint="eastAsia" w:ascii="宋体" w:hAnsi="宋体" w:eastAsia="宋体"/>
        </w:rPr>
        <w:t>按照</w:t>
      </w:r>
      <w:r>
        <w:rPr>
          <w:rFonts w:ascii="宋体" w:hAnsi="宋体" w:eastAsia="宋体"/>
        </w:rPr>
        <w:t>试验对象</w:t>
      </w:r>
      <w:r>
        <w:rPr>
          <w:rFonts w:hint="eastAsia" w:ascii="宋体" w:hAnsi="宋体" w:eastAsia="宋体"/>
        </w:rPr>
        <w:t>车辆安装</w:t>
      </w:r>
      <w:r>
        <w:rPr>
          <w:rFonts w:ascii="宋体" w:hAnsi="宋体" w:eastAsia="宋体"/>
        </w:rPr>
        <w:t>位置和</w:t>
      </w:r>
      <w:r>
        <w:rPr>
          <w:rFonts w:ascii="Times New Roman" w:eastAsia="宋体"/>
        </w:rPr>
        <w:t>GB/T 2423.43</w:t>
      </w:r>
      <w:r>
        <w:rPr>
          <w:rFonts w:hint="eastAsia" w:ascii="宋体" w:hAnsi="宋体" w:eastAsia="宋体"/>
        </w:rPr>
        <w:t>的要求，将试验对象水平安装在带有支架的台车上。根据试验对象的使用环境给台车施加规定的脉冲，并落在表</w:t>
      </w:r>
      <w:r>
        <w:rPr>
          <w:rFonts w:ascii="Times New Roman" w:eastAsia="宋体"/>
        </w:rPr>
        <w:t>6</w:t>
      </w:r>
      <w:r>
        <w:rPr>
          <w:rFonts w:hint="eastAsia" w:ascii="宋体" w:hAnsi="宋体" w:eastAsia="宋体"/>
        </w:rPr>
        <w:t>和图</w:t>
      </w:r>
      <w:r>
        <w:rPr>
          <w:rFonts w:hint="eastAsia" w:ascii="Times New Roman" w:eastAsia="宋体"/>
        </w:rPr>
        <w:t>5</w:t>
      </w:r>
      <w:r>
        <w:rPr>
          <w:rFonts w:hint="eastAsia" w:ascii="宋体" w:hAnsi="宋体" w:eastAsia="宋体"/>
        </w:rPr>
        <w:t>最大、最小容差允许范围内（汽车行驶方向为</w:t>
      </w:r>
      <w:r>
        <w:rPr>
          <w:rFonts w:ascii="Times New Roman" w:eastAsia="宋体"/>
        </w:rPr>
        <w:t>x</w:t>
      </w:r>
      <w:r>
        <w:rPr>
          <w:rFonts w:hint="eastAsia" w:ascii="宋体" w:hAnsi="宋体" w:eastAsia="宋体"/>
        </w:rPr>
        <w:t>轴方向，另一垂直于行驶方向的水平方向为</w:t>
      </w:r>
      <w:r>
        <w:rPr>
          <w:rFonts w:ascii="Times New Roman" w:eastAsia="宋体"/>
        </w:rPr>
        <w:t>y</w:t>
      </w:r>
      <w:r>
        <w:rPr>
          <w:rFonts w:hint="eastAsia" w:ascii="宋体" w:hAnsi="宋体" w:eastAsia="宋体"/>
        </w:rPr>
        <w:t>轴方向）。对于试验对象存在多个安装方向（</w:t>
      </w:r>
      <w:r>
        <w:rPr>
          <w:rFonts w:ascii="Times New Roman" w:eastAsia="宋体"/>
        </w:rPr>
        <w:t>x/ y/ z</w:t>
      </w:r>
      <w:r>
        <w:rPr>
          <w:rFonts w:hint="eastAsia" w:ascii="宋体" w:hAnsi="宋体" w:eastAsia="宋体"/>
        </w:rPr>
        <w:t>）时，</w:t>
      </w:r>
      <w:r>
        <w:rPr>
          <w:rFonts w:hint="eastAsia" w:ascii="宋体" w:hAnsi="宋体" w:eastAsia="宋体"/>
          <w:color w:val="000000"/>
          <w:kern w:val="24"/>
        </w:rPr>
        <w:t>按照加速度大的安装方向进行试验</w:t>
      </w:r>
      <w:r>
        <w:rPr>
          <w:rFonts w:hint="eastAsia" w:ascii="宋体" w:hAnsi="宋体" w:eastAsia="宋体"/>
        </w:rPr>
        <w:t>。</w:t>
      </w:r>
    </w:p>
    <w:p>
      <w:pPr>
        <w:pStyle w:val="51"/>
        <w:spacing w:before="156" w:after="156"/>
        <w:ind w:left="2" w:hanging="2"/>
        <w:rPr>
          <w:rFonts w:ascii="Times New Roman" w:eastAsiaTheme="minorEastAsia"/>
          <w:color w:val="000000"/>
          <w:kern w:val="24"/>
        </w:rPr>
      </w:pPr>
      <w:r>
        <w:rPr>
          <w:rFonts w:hint="eastAsia" w:ascii="Times New Roman" w:eastAsia="宋体"/>
          <w:szCs w:val="20"/>
        </w:rPr>
        <w:t>完成以上试验</w:t>
      </w:r>
      <w:r>
        <w:rPr>
          <w:rFonts w:ascii="Times New Roman" w:eastAsia="宋体"/>
          <w:szCs w:val="20"/>
        </w:rPr>
        <w:t>步骤后</w:t>
      </w:r>
      <w:r>
        <w:rPr>
          <w:rFonts w:hint="eastAsia" w:asciiTheme="minorEastAsia" w:hAnsiTheme="minorEastAsia" w:eastAsiaTheme="minorEastAsia"/>
        </w:rPr>
        <w:t>，在试验环境温度下</w:t>
      </w:r>
      <w:r>
        <w:rPr>
          <w:rFonts w:hint="eastAsia" w:ascii="Times New Roman" w:eastAsiaTheme="minorEastAsia"/>
          <w:color w:val="000000"/>
          <w:kern w:val="24"/>
        </w:rPr>
        <w:t>观察2</w:t>
      </w:r>
      <w:r>
        <w:rPr>
          <w:rFonts w:ascii="Times New Roman" w:eastAsiaTheme="minorEastAsia"/>
          <w:color w:val="000000"/>
          <w:kern w:val="24"/>
        </w:rPr>
        <w:t xml:space="preserve"> </w:t>
      </w:r>
      <w:r>
        <w:rPr>
          <w:rFonts w:hint="eastAsia" w:ascii="Times New Roman" w:eastAsiaTheme="minorEastAsia"/>
          <w:color w:val="000000"/>
          <w:kern w:val="24"/>
        </w:rPr>
        <w:t>h。</w:t>
      </w:r>
      <w:bookmarkEnd w:id="1127"/>
      <w:bookmarkStart w:id="1128" w:name="_Toc491440273"/>
      <w:bookmarkStart w:id="1129" w:name="_Toc495431214"/>
      <w:bookmarkStart w:id="1130" w:name="_Toc477502392"/>
      <w:bookmarkStart w:id="1131" w:name="_Toc501358504"/>
      <w:bookmarkStart w:id="1132" w:name="_Toc478329044"/>
      <w:bookmarkStart w:id="1133" w:name="_Toc478411979"/>
      <w:bookmarkStart w:id="1134" w:name="_Toc476948714"/>
      <w:bookmarkStart w:id="1135" w:name="_Toc477380629"/>
      <w:bookmarkStart w:id="1136" w:name="_Toc497749569"/>
      <w:bookmarkStart w:id="1137" w:name="_Toc477466015"/>
    </w:p>
    <w:p>
      <w:pPr>
        <w:pStyle w:val="45"/>
        <w:numPr>
          <w:ilvl w:val="0"/>
          <w:numId w:val="0"/>
        </w:numPr>
        <w:spacing w:before="156" w:beforeLines="50" w:after="156" w:afterLines="50"/>
        <w:jc w:val="center"/>
        <w:rPr>
          <w:rFonts w:hAnsi="黑体"/>
          <w:color w:val="000000"/>
          <w:kern w:val="24"/>
          <w:szCs w:val="21"/>
        </w:rPr>
      </w:pPr>
      <w:bookmarkStart w:id="1138" w:name="_Toc511045382"/>
      <w:bookmarkStart w:id="1139" w:name="_Toc504059444"/>
      <w:bookmarkStart w:id="1140" w:name="_Toc511831719"/>
      <w:bookmarkStart w:id="1141" w:name="_Toc510644246"/>
      <w:bookmarkStart w:id="1142" w:name="_Toc513232541"/>
      <w:bookmarkStart w:id="1143" w:name="_Toc513234360"/>
      <w:bookmarkStart w:id="1144" w:name="_Toc512454272"/>
      <w:bookmarkStart w:id="1145" w:name="_Toc512347124"/>
      <w:r>
        <w:rPr>
          <w:rFonts w:hint="eastAsia" w:hAnsi="黑体"/>
          <w:color w:val="000000"/>
          <w:kern w:val="24"/>
          <w:szCs w:val="21"/>
        </w:rPr>
        <w:t>表</w:t>
      </w:r>
      <w:r>
        <w:rPr>
          <w:rFonts w:hAnsi="黑体"/>
          <w:color w:val="000000"/>
          <w:kern w:val="24"/>
          <w:szCs w:val="21"/>
        </w:rPr>
        <w:t xml:space="preserve">6 </w:t>
      </w:r>
      <w:r>
        <w:rPr>
          <w:rFonts w:hint="eastAsia" w:hAnsi="黑体"/>
          <w:color w:val="000000"/>
          <w:kern w:val="24"/>
          <w:szCs w:val="21"/>
        </w:rPr>
        <w:t>模拟碰撞脉冲</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r>
        <w:rPr>
          <w:rFonts w:hint="eastAsia" w:hAnsi="黑体"/>
          <w:color w:val="000000"/>
          <w:kern w:val="24"/>
          <w:szCs w:val="21"/>
        </w:rPr>
        <w:t>容差范围</w:t>
      </w:r>
      <w:bookmarkEnd w:id="1142"/>
      <w:bookmarkEnd w:id="1143"/>
      <w:bookmarkEnd w:id="1144"/>
      <w:bookmarkEnd w:id="1145"/>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6"/>
        <w:gridCol w:w="850"/>
        <w:gridCol w:w="1340"/>
        <w:gridCol w:w="1341"/>
        <w:gridCol w:w="1341"/>
        <w:gridCol w:w="1340"/>
        <w:gridCol w:w="1341"/>
        <w:gridCol w:w="13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Merge w:val="restart"/>
            <w:vAlign w:val="center"/>
          </w:tcPr>
          <w:p>
            <w:pPr>
              <w:pStyle w:val="23"/>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点</w:t>
            </w:r>
          </w:p>
        </w:tc>
        <w:tc>
          <w:tcPr>
            <w:tcW w:w="850" w:type="dxa"/>
            <w:vMerge w:val="restart"/>
            <w:vAlign w:val="center"/>
          </w:tcPr>
          <w:p>
            <w:pPr>
              <w:pStyle w:val="23"/>
              <w:widowControl w:val="0"/>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脉宽</w:t>
            </w:r>
          </w:p>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ms</w:t>
            </w:r>
          </w:p>
        </w:tc>
        <w:tc>
          <w:tcPr>
            <w:tcW w:w="2681" w:type="dxa"/>
            <w:gridSpan w:val="2"/>
            <w:vAlign w:val="center"/>
          </w:tcPr>
          <w:p>
            <w:pPr>
              <w:pStyle w:val="23"/>
              <w:widowControl w:val="0"/>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w:t>
            </w:r>
            <w:r>
              <w:rPr>
                <w:rFonts w:asciiTheme="majorEastAsia" w:hAnsiTheme="majorEastAsia" w:eastAsiaTheme="majorEastAsia"/>
                <w:sz w:val="18"/>
                <w:szCs w:val="18"/>
              </w:rPr>
              <w:t>3.5 t</w:t>
            </w:r>
          </w:p>
          <w:p>
            <w:pPr>
              <w:pStyle w:val="23"/>
              <w:widowControl w:val="0"/>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（整车整备质量）</w:t>
            </w:r>
          </w:p>
        </w:tc>
        <w:tc>
          <w:tcPr>
            <w:tcW w:w="2681" w:type="dxa"/>
            <w:gridSpan w:val="2"/>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3.5 t</w:t>
            </w:r>
            <w:r>
              <w:rPr>
                <w:rFonts w:hint="eastAsia" w:asciiTheme="majorEastAsia" w:hAnsiTheme="majorEastAsia" w:eastAsiaTheme="majorEastAsia"/>
                <w:sz w:val="18"/>
                <w:szCs w:val="18"/>
              </w:rPr>
              <w:t>～</w:t>
            </w:r>
            <w:r>
              <w:rPr>
                <w:rFonts w:asciiTheme="majorEastAsia" w:hAnsiTheme="majorEastAsia" w:eastAsiaTheme="majorEastAsia"/>
                <w:sz w:val="18"/>
                <w:szCs w:val="18"/>
              </w:rPr>
              <w:t>7.5 t</w:t>
            </w:r>
          </w:p>
          <w:p>
            <w:pPr>
              <w:pStyle w:val="23"/>
              <w:widowControl w:val="0"/>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（整车整备质量）</w:t>
            </w:r>
          </w:p>
        </w:tc>
        <w:tc>
          <w:tcPr>
            <w:tcW w:w="2682" w:type="dxa"/>
            <w:gridSpan w:val="2"/>
            <w:vAlign w:val="center"/>
          </w:tcPr>
          <w:p>
            <w:pPr>
              <w:pStyle w:val="23"/>
              <w:widowControl w:val="0"/>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≥7</w:t>
            </w:r>
            <w:r>
              <w:rPr>
                <w:rFonts w:asciiTheme="majorEastAsia" w:hAnsiTheme="majorEastAsia" w:eastAsiaTheme="majorEastAsia"/>
                <w:sz w:val="18"/>
                <w:szCs w:val="18"/>
              </w:rPr>
              <w:t>.5 t</w:t>
            </w:r>
          </w:p>
          <w:p>
            <w:pPr>
              <w:pStyle w:val="23"/>
              <w:widowControl w:val="0"/>
              <w:ind w:firstLine="0" w:firstLineChars="0"/>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（整车整备质量）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Merge w:val="continue"/>
            <w:vAlign w:val="center"/>
          </w:tcPr>
          <w:p>
            <w:pPr>
              <w:pStyle w:val="23"/>
              <w:widowControl w:val="0"/>
              <w:ind w:firstLine="0" w:firstLineChars="0"/>
              <w:jc w:val="center"/>
              <w:rPr>
                <w:rFonts w:asciiTheme="majorEastAsia" w:hAnsiTheme="majorEastAsia" w:eastAsiaTheme="majorEastAsia"/>
                <w:sz w:val="18"/>
                <w:szCs w:val="18"/>
              </w:rPr>
            </w:pPr>
          </w:p>
        </w:tc>
        <w:tc>
          <w:tcPr>
            <w:tcW w:w="850" w:type="dxa"/>
            <w:vMerge w:val="continue"/>
            <w:vAlign w:val="center"/>
          </w:tcPr>
          <w:p>
            <w:pPr>
              <w:pStyle w:val="23"/>
              <w:widowControl w:val="0"/>
              <w:ind w:firstLine="0" w:firstLineChars="0"/>
              <w:jc w:val="center"/>
              <w:rPr>
                <w:rFonts w:asciiTheme="majorEastAsia" w:hAnsiTheme="majorEastAsia" w:eastAsiaTheme="majorEastAsia"/>
                <w:sz w:val="18"/>
                <w:szCs w:val="18"/>
              </w:rPr>
            </w:pPr>
          </w:p>
        </w:tc>
        <w:tc>
          <w:tcPr>
            <w:tcW w:w="1340" w:type="dxa"/>
            <w:vAlign w:val="center"/>
          </w:tcPr>
          <w:p>
            <w:pPr>
              <w:pStyle w:val="23"/>
              <w:widowControl w:val="0"/>
              <w:ind w:firstLine="0" w:firstLineChars="0"/>
              <w:rPr>
                <w:rFonts w:asciiTheme="majorEastAsia" w:hAnsiTheme="majorEastAsia" w:eastAsiaTheme="majorEastAsia"/>
                <w:sz w:val="18"/>
                <w:szCs w:val="18"/>
              </w:rPr>
            </w:pPr>
            <w:r>
              <w:rPr>
                <w:rFonts w:asciiTheme="majorEastAsia" w:hAnsiTheme="majorEastAsia" w:eastAsiaTheme="majorEastAsia"/>
                <w:sz w:val="18"/>
                <w:szCs w:val="18"/>
              </w:rPr>
              <w:t>x</w:t>
            </w:r>
            <w:r>
              <w:rPr>
                <w:rFonts w:hint="eastAsia" w:asciiTheme="majorEastAsia" w:hAnsiTheme="majorEastAsia" w:eastAsiaTheme="majorEastAsia"/>
                <w:sz w:val="18"/>
                <w:szCs w:val="18"/>
              </w:rPr>
              <w:t>方向加速度</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y</w:t>
            </w:r>
            <w:r>
              <w:rPr>
                <w:rFonts w:hint="eastAsia" w:asciiTheme="majorEastAsia" w:hAnsiTheme="majorEastAsia" w:eastAsiaTheme="majorEastAsia"/>
                <w:sz w:val="18"/>
                <w:szCs w:val="18"/>
              </w:rPr>
              <w:t>方向加速度</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x</w:t>
            </w:r>
            <w:r>
              <w:rPr>
                <w:rFonts w:hint="eastAsia" w:asciiTheme="majorEastAsia" w:hAnsiTheme="majorEastAsia" w:eastAsiaTheme="majorEastAsia"/>
                <w:sz w:val="18"/>
                <w:szCs w:val="18"/>
              </w:rPr>
              <w:t>方向加速度</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y</w:t>
            </w:r>
            <w:r>
              <w:rPr>
                <w:rFonts w:hint="eastAsia" w:asciiTheme="majorEastAsia" w:hAnsiTheme="majorEastAsia" w:eastAsiaTheme="majorEastAsia"/>
                <w:sz w:val="18"/>
                <w:szCs w:val="18"/>
              </w:rPr>
              <w:t>方向加速度</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x</w:t>
            </w:r>
            <w:r>
              <w:rPr>
                <w:rFonts w:hint="eastAsia" w:asciiTheme="majorEastAsia" w:hAnsiTheme="majorEastAsia" w:eastAsiaTheme="majorEastAsia"/>
                <w:sz w:val="18"/>
                <w:szCs w:val="18"/>
              </w:rPr>
              <w:t>方向加速度</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y</w:t>
            </w:r>
            <w:r>
              <w:rPr>
                <w:rFonts w:hint="eastAsia" w:asciiTheme="majorEastAsia" w:hAnsiTheme="majorEastAsia" w:eastAsiaTheme="majorEastAsia"/>
                <w:sz w:val="18"/>
                <w:szCs w:val="18"/>
              </w:rPr>
              <w:t>方向加速度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A</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B</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20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8</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6.6</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w:t>
            </w:r>
            <w:r>
              <w:rPr>
                <w:rFonts w:ascii="Times New Roman" w:eastAsiaTheme="majorEastAsia"/>
                <w:sz w:val="18"/>
                <w:szCs w:val="18"/>
              </w:rPr>
              <w:t xml:space="preserve">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C</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65</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8</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6.6</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w:t>
            </w:r>
            <w:r>
              <w:rPr>
                <w:rFonts w:ascii="Times New Roman" w:eastAsiaTheme="majorEastAsia"/>
                <w:sz w:val="18"/>
                <w:szCs w:val="18"/>
              </w:rPr>
              <w:t xml:space="preserve">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D</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E</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4.5</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2.5</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4</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F</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50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28</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15</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17</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12</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G</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80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28</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15</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17</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12</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10</w:t>
            </w:r>
            <w:r>
              <w:rPr>
                <w:rFonts w:ascii="Times New Roman" w:eastAsiaTheme="majorEastAsia"/>
                <w:sz w:val="18"/>
                <w:szCs w:val="18"/>
              </w:rPr>
              <w:t xml:space="preserve"> 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6"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H</w:t>
            </w:r>
          </w:p>
        </w:tc>
        <w:tc>
          <w:tcPr>
            <w:tcW w:w="85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120</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0"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c>
          <w:tcPr>
            <w:tcW w:w="1341" w:type="dxa"/>
            <w:vAlign w:val="center"/>
          </w:tcPr>
          <w:p>
            <w:pPr>
              <w:pStyle w:val="23"/>
              <w:widowControl w:val="0"/>
              <w:ind w:firstLine="0" w:firstLineChars="0"/>
              <w:jc w:val="center"/>
              <w:rPr>
                <w:rFonts w:asciiTheme="majorEastAsia" w:hAnsiTheme="majorEastAsia" w:eastAsiaTheme="majorEastAsia"/>
                <w:sz w:val="18"/>
                <w:szCs w:val="18"/>
              </w:rPr>
            </w:pPr>
            <w:r>
              <w:rPr>
                <w:rFonts w:asciiTheme="majorEastAsia" w:hAnsiTheme="majorEastAsia" w:eastAsiaTheme="majorEastAsia"/>
                <w:sz w:val="18"/>
                <w:szCs w:val="18"/>
              </w:rPr>
              <w:t>0</w:t>
            </w:r>
            <w:r>
              <w:rPr>
                <w:rFonts w:ascii="Times New Roman" w:eastAsiaTheme="majorEastAsia"/>
                <w:sz w:val="18"/>
                <w:szCs w:val="18"/>
              </w:rPr>
              <w:t xml:space="preserve"> g</w:t>
            </w:r>
          </w:p>
        </w:tc>
      </w:tr>
    </w:tbl>
    <w:p>
      <w:pPr>
        <w:pStyle w:val="23"/>
        <w:spacing w:before="312" w:beforeLines="100"/>
        <w:ind w:firstLine="0" w:firstLineChars="0"/>
        <w:jc w:val="center"/>
        <w:rPr>
          <w:szCs w:val="21"/>
        </w:rPr>
      </w:pPr>
      <w:r>
        <w:drawing>
          <wp:inline distT="0" distB="0" distL="0" distR="0">
            <wp:extent cx="3172460" cy="1979930"/>
            <wp:effectExtent l="0" t="0" r="889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2463" cy="1980000"/>
                    </a:xfrm>
                    <a:prstGeom prst="rect">
                      <a:avLst/>
                    </a:prstGeom>
                    <a:noFill/>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szCs w:val="21"/>
        </w:rPr>
        <w:t>图5</w:t>
      </w:r>
      <w:r>
        <w:rPr>
          <w:rFonts w:ascii="黑体" w:hAnsi="黑体" w:eastAsia="黑体"/>
          <w:szCs w:val="21"/>
        </w:rPr>
        <w:t xml:space="preserve"> </w:t>
      </w:r>
      <w:r>
        <w:rPr>
          <w:rFonts w:hint="eastAsia" w:ascii="黑体" w:hAnsi="黑体" w:eastAsia="黑体"/>
          <w:szCs w:val="21"/>
        </w:rPr>
        <w:t>模拟碰撞脉冲容差范围示意图</w:t>
      </w:r>
    </w:p>
    <w:p>
      <w:pPr>
        <w:pStyle w:val="46"/>
        <w:spacing w:before="156" w:after="156"/>
        <w:ind w:left="2"/>
        <w:outlineLvl w:val="2"/>
        <w:rPr>
          <w:rFonts w:hAnsi="黑体"/>
        </w:rPr>
      </w:pPr>
      <w:bookmarkStart w:id="1146" w:name="_Toc513234361"/>
      <w:bookmarkStart w:id="1147" w:name="_Toc450682992"/>
      <w:bookmarkStart w:id="1148" w:name="_Toc513232542"/>
      <w:bookmarkStart w:id="1149" w:name="_Toc504059445"/>
      <w:bookmarkStart w:id="1150" w:name="_Toc468729559"/>
      <w:r>
        <w:rPr>
          <w:rFonts w:hint="eastAsia" w:hAnsi="黑体"/>
        </w:rPr>
        <w:t>挤压</w:t>
      </w:r>
      <w:bookmarkEnd w:id="1146"/>
      <w:bookmarkEnd w:id="1147"/>
      <w:bookmarkEnd w:id="1148"/>
      <w:bookmarkEnd w:id="1149"/>
      <w:bookmarkEnd w:id="1150"/>
    </w:p>
    <w:p>
      <w:pPr>
        <w:pStyle w:val="51"/>
        <w:spacing w:before="156" w:after="156"/>
        <w:ind w:left="2" w:hanging="2"/>
        <w:rPr>
          <w:rFonts w:asciiTheme="minorEastAsia" w:hAnsiTheme="minorEastAsia" w:eastAsiaTheme="minorEastAsia"/>
        </w:rPr>
      </w:pPr>
      <w:bookmarkStart w:id="1151" w:name="_Toc468729560"/>
      <w:r>
        <w:rPr>
          <w:rFonts w:hint="eastAsia" w:asciiTheme="minorEastAsia" w:hAnsiTheme="minorEastAsia" w:eastAsiaTheme="minorEastAsia"/>
        </w:rPr>
        <w:t>试验对象为电池包或系统，</w:t>
      </w:r>
      <w:bookmarkEnd w:id="1151"/>
      <w:r>
        <w:rPr>
          <w:rFonts w:hint="eastAsia" w:asciiTheme="minorEastAsia" w:hAnsiTheme="minorEastAsia" w:eastAsiaTheme="minorEastAsia"/>
        </w:rPr>
        <w:t>对于安装在车体内部的电池包或系统，允许携带车身结构件进行试验。</w:t>
      </w:r>
    </w:p>
    <w:p>
      <w:pPr>
        <w:pStyle w:val="51"/>
        <w:spacing w:before="156" w:after="156"/>
        <w:ind w:left="2" w:hanging="2"/>
        <w:rPr>
          <w:rFonts w:asciiTheme="minorEastAsia" w:hAnsiTheme="minorEastAsia" w:eastAsiaTheme="minorEastAsia"/>
        </w:rPr>
      </w:pPr>
      <w:bookmarkStart w:id="1152" w:name="_Toc468729561"/>
      <w:r>
        <w:rPr>
          <w:rFonts w:hint="eastAsia" w:asciiTheme="minorEastAsia" w:hAnsiTheme="minorEastAsia" w:eastAsiaTheme="minorEastAsia"/>
        </w:rPr>
        <w:t>按下列条件进行试验：</w:t>
      </w:r>
      <w:bookmarkEnd w:id="1152"/>
    </w:p>
    <w:p>
      <w:pPr>
        <w:pStyle w:val="51"/>
        <w:numPr>
          <w:ilvl w:val="0"/>
          <w:numId w:val="18"/>
        </w:numPr>
        <w:spacing w:before="0" w:beforeLines="0" w:after="0" w:afterLines="0"/>
        <w:ind w:left="839"/>
        <w:jc w:val="both"/>
        <w:rPr>
          <w:rFonts w:ascii="Times New Roman"/>
        </w:rPr>
      </w:pPr>
      <w:r>
        <w:rPr>
          <w:rFonts w:hint="eastAsia" w:ascii="Times New Roman" w:eastAsia="宋体"/>
          <w:szCs w:val="20"/>
        </w:rPr>
        <w:t>挤压板形式（选择以下两种挤压板中的一种）：</w:t>
      </w:r>
    </w:p>
    <w:p>
      <w:pPr>
        <w:pStyle w:val="23"/>
        <w:ind w:left="839" w:firstLine="0" w:firstLineChars="0"/>
        <w:rPr>
          <w:rFonts w:ascii="Times New Roman"/>
        </w:rPr>
      </w:pPr>
      <w:r>
        <w:rPr>
          <w:rFonts w:ascii="Times New Roman"/>
        </w:rPr>
        <w:t>——</w:t>
      </w:r>
      <w:r>
        <w:rPr>
          <w:rFonts w:hint="eastAsia" w:ascii="Times New Roman"/>
        </w:rPr>
        <w:t>挤压板</w:t>
      </w:r>
      <w:r>
        <w:rPr>
          <w:rFonts w:ascii="Times New Roman"/>
        </w:rPr>
        <w:t>如图</w:t>
      </w:r>
      <w:r>
        <w:rPr>
          <w:rFonts w:hint="eastAsia" w:ascii="Times New Roman"/>
        </w:rPr>
        <w:t>6所示</w:t>
      </w:r>
      <w:r>
        <w:rPr>
          <w:rFonts w:ascii="Times New Roman"/>
        </w:rPr>
        <w:t>，</w:t>
      </w:r>
      <w:r>
        <w:rPr>
          <w:rFonts w:hint="eastAsia" w:ascii="Times New Roman"/>
        </w:rPr>
        <w:t>半径75</w:t>
      </w:r>
      <w:r>
        <w:rPr>
          <w:rFonts w:ascii="Times New Roman"/>
        </w:rPr>
        <w:t xml:space="preserve"> </w:t>
      </w:r>
      <w:r>
        <w:rPr>
          <w:rFonts w:hint="eastAsia" w:ascii="Times New Roman"/>
        </w:rPr>
        <w:t>mm的半圆柱体，半圆柱体的长度（L）大于试验对象的高度，但不超过1</w:t>
      </w:r>
      <w:r>
        <w:rPr>
          <w:rFonts w:ascii="Times New Roman"/>
        </w:rPr>
        <w:t xml:space="preserve"> </w:t>
      </w:r>
      <w:r>
        <w:rPr>
          <w:rFonts w:hint="eastAsia" w:ascii="Times New Roman"/>
        </w:rPr>
        <w:t>m；</w:t>
      </w:r>
    </w:p>
    <w:p>
      <w:pPr>
        <w:pStyle w:val="23"/>
        <w:ind w:left="839" w:firstLine="0" w:firstLineChars="0"/>
        <w:rPr>
          <w:rFonts w:ascii="Times New Roman"/>
        </w:rPr>
      </w:pPr>
      <w:r>
        <w:rPr>
          <w:rFonts w:ascii="Times New Roman"/>
        </w:rPr>
        <w:t>——挤压板如图</w:t>
      </w:r>
      <w:r>
        <w:rPr>
          <w:rFonts w:hint="eastAsia" w:ascii="Times New Roman"/>
        </w:rPr>
        <w:t>7所示，</w:t>
      </w:r>
      <w:r>
        <w:rPr>
          <w:rFonts w:ascii="Times New Roman"/>
        </w:rPr>
        <w:t>尺寸为</w:t>
      </w:r>
      <w:r>
        <w:rPr>
          <w:rFonts w:hint="eastAsia" w:ascii="Times New Roman"/>
        </w:rPr>
        <w:t xml:space="preserve"> 600</w:t>
      </w:r>
      <w:r>
        <w:rPr>
          <w:rFonts w:ascii="Times New Roman"/>
        </w:rPr>
        <w:t xml:space="preserve"> </w:t>
      </w:r>
      <w:r>
        <w:rPr>
          <w:rFonts w:hint="eastAsia" w:ascii="Times New Roman"/>
        </w:rPr>
        <w:t>mm×600</w:t>
      </w:r>
      <w:r>
        <w:rPr>
          <w:rFonts w:ascii="Times New Roman"/>
        </w:rPr>
        <w:t xml:space="preserve"> </w:t>
      </w:r>
      <w:r>
        <w:rPr>
          <w:rFonts w:hint="eastAsia" w:ascii="Times New Roman"/>
        </w:rPr>
        <w:t>mm（长×宽）或</w:t>
      </w:r>
      <w:r>
        <w:rPr>
          <w:rFonts w:ascii="Times New Roman"/>
        </w:rPr>
        <w:t>更小，</w:t>
      </w:r>
      <w:r>
        <w:rPr>
          <w:rFonts w:hint="eastAsia" w:ascii="Times New Roman"/>
        </w:rPr>
        <w:t>三个</w:t>
      </w:r>
      <w:r>
        <w:rPr>
          <w:rFonts w:ascii="Times New Roman"/>
        </w:rPr>
        <w:t>半圆柱</w:t>
      </w:r>
      <w:r>
        <w:rPr>
          <w:rFonts w:hint="eastAsia" w:ascii="Times New Roman"/>
        </w:rPr>
        <w:t>体半径为75</w:t>
      </w:r>
      <w:r>
        <w:rPr>
          <w:rFonts w:ascii="Times New Roman"/>
        </w:rPr>
        <w:t xml:space="preserve"> </w:t>
      </w:r>
      <w:r>
        <w:rPr>
          <w:rFonts w:hint="eastAsia" w:ascii="Times New Roman"/>
        </w:rPr>
        <w:t>mm</w:t>
      </w:r>
      <w:r>
        <w:rPr>
          <w:rFonts w:ascii="Times New Roman"/>
        </w:rPr>
        <w:t>，</w:t>
      </w:r>
      <w:r>
        <w:rPr>
          <w:rFonts w:hint="eastAsia" w:ascii="Times New Roman"/>
        </w:rPr>
        <w:t>半圆柱</w:t>
      </w:r>
      <w:r>
        <w:rPr>
          <w:rFonts w:ascii="Times New Roman"/>
        </w:rPr>
        <w:t>体间距</w:t>
      </w:r>
      <w:r>
        <w:rPr>
          <w:rFonts w:hint="eastAsia" w:ascii="Times New Roman"/>
        </w:rPr>
        <w:t>30</w:t>
      </w:r>
      <w:r>
        <w:rPr>
          <w:rFonts w:ascii="Times New Roman"/>
        </w:rPr>
        <w:t xml:space="preserve"> </w:t>
      </w:r>
      <w:r>
        <w:rPr>
          <w:rFonts w:hint="eastAsia" w:ascii="Times New Roman"/>
        </w:rPr>
        <w:t>mm</w:t>
      </w:r>
      <w:r>
        <w:rPr>
          <w:rFonts w:ascii="Times New Roman"/>
        </w:rPr>
        <w:t>。</w:t>
      </w:r>
    </w:p>
    <w:p>
      <w:pPr>
        <w:pStyle w:val="51"/>
        <w:numPr>
          <w:ilvl w:val="0"/>
          <w:numId w:val="18"/>
        </w:numPr>
        <w:spacing w:before="0" w:beforeLines="0" w:after="0" w:afterLines="0"/>
        <w:ind w:left="839"/>
        <w:jc w:val="both"/>
        <w:rPr>
          <w:rFonts w:ascii="Times New Roman"/>
        </w:rPr>
      </w:pPr>
      <w:bookmarkStart w:id="1153" w:name="_Toc450682993"/>
      <w:bookmarkStart w:id="1154" w:name="_Toc450729880"/>
      <w:r>
        <w:rPr>
          <w:rFonts w:hint="eastAsia" w:ascii="Times New Roman" w:eastAsia="宋体"/>
          <w:szCs w:val="20"/>
        </w:rPr>
        <w:t>挤压方向：</w:t>
      </w:r>
      <w:r>
        <w:rPr>
          <w:rFonts w:ascii="Times New Roman" w:eastAsia="宋体"/>
          <w:szCs w:val="20"/>
        </w:rPr>
        <w:t xml:space="preserve">x </w:t>
      </w:r>
      <w:r>
        <w:rPr>
          <w:rFonts w:hint="eastAsia" w:ascii="Times New Roman" w:eastAsia="宋体"/>
          <w:szCs w:val="20"/>
        </w:rPr>
        <w:t>方向和</w:t>
      </w:r>
      <w:r>
        <w:rPr>
          <w:rFonts w:ascii="Times New Roman" w:eastAsia="宋体"/>
          <w:szCs w:val="20"/>
        </w:rPr>
        <w:t>y</w:t>
      </w:r>
      <w:r>
        <w:rPr>
          <w:rFonts w:hint="eastAsia" w:ascii="Times New Roman" w:eastAsia="宋体"/>
          <w:szCs w:val="20"/>
        </w:rPr>
        <w:t>方向（汽车行驶方向为</w:t>
      </w:r>
      <w:r>
        <w:rPr>
          <w:rFonts w:ascii="Times New Roman" w:eastAsia="宋体"/>
          <w:szCs w:val="20"/>
        </w:rPr>
        <w:t>x</w:t>
      </w:r>
      <w:r>
        <w:rPr>
          <w:rFonts w:hint="eastAsia" w:ascii="Times New Roman" w:eastAsia="宋体"/>
          <w:szCs w:val="20"/>
        </w:rPr>
        <w:t>轴方向，另一垂直于行驶方向的水平方向为</w:t>
      </w:r>
      <w:r>
        <w:rPr>
          <w:rFonts w:ascii="Times New Roman" w:eastAsia="宋体"/>
          <w:szCs w:val="20"/>
        </w:rPr>
        <w:t>y</w:t>
      </w:r>
      <w:r>
        <w:rPr>
          <w:rFonts w:hint="eastAsia" w:ascii="Times New Roman" w:eastAsia="宋体"/>
          <w:szCs w:val="20"/>
        </w:rPr>
        <w:t>轴方向），为保护试验操作安全，可分开在两个试验对象上执行测试</w:t>
      </w:r>
      <w:bookmarkEnd w:id="1153"/>
      <w:bookmarkEnd w:id="1154"/>
      <w:r>
        <w:rPr>
          <w:rFonts w:hint="eastAsia" w:ascii="Times New Roman" w:eastAsia="宋体"/>
          <w:szCs w:val="20"/>
        </w:rPr>
        <w:t>；</w:t>
      </w:r>
    </w:p>
    <w:p>
      <w:pPr>
        <w:pStyle w:val="51"/>
        <w:numPr>
          <w:ilvl w:val="0"/>
          <w:numId w:val="18"/>
        </w:numPr>
        <w:spacing w:before="0" w:beforeLines="0" w:after="0" w:afterLines="0"/>
        <w:ind w:left="839"/>
        <w:jc w:val="both"/>
        <w:rPr>
          <w:rFonts w:ascii="Times New Roman"/>
        </w:rPr>
      </w:pPr>
      <w:r>
        <w:rPr>
          <w:rFonts w:hint="eastAsia" w:ascii="Times New Roman" w:eastAsia="宋体"/>
          <w:szCs w:val="20"/>
        </w:rPr>
        <w:t>挤压速度：不大于</w:t>
      </w:r>
      <w:r>
        <w:rPr>
          <w:rFonts w:ascii="Times New Roman" w:eastAsia="宋体"/>
          <w:szCs w:val="20"/>
        </w:rPr>
        <w:t>2 mm/s</w:t>
      </w:r>
      <w:r>
        <w:rPr>
          <w:rFonts w:hint="eastAsia" w:ascii="Times New Roman" w:eastAsia="宋体"/>
          <w:szCs w:val="20"/>
        </w:rPr>
        <w:t>；</w:t>
      </w:r>
    </w:p>
    <w:p>
      <w:pPr>
        <w:pStyle w:val="51"/>
        <w:numPr>
          <w:ilvl w:val="0"/>
          <w:numId w:val="18"/>
        </w:numPr>
        <w:spacing w:before="0" w:beforeLines="0" w:after="0" w:afterLines="0"/>
        <w:ind w:left="839"/>
        <w:jc w:val="both"/>
        <w:rPr>
          <w:rFonts w:ascii="Times New Roman"/>
        </w:rPr>
      </w:pPr>
      <w:bookmarkStart w:id="1155" w:name="_Toc450729881"/>
      <w:bookmarkStart w:id="1156" w:name="_Toc450682994"/>
      <w:r>
        <w:rPr>
          <w:rFonts w:hint="eastAsia" w:ascii="Times New Roman" w:eastAsia="宋体"/>
          <w:szCs w:val="20"/>
        </w:rPr>
        <w:t>挤压程度：挤压力达到</w:t>
      </w:r>
      <w:r>
        <w:rPr>
          <w:rFonts w:ascii="Times New Roman" w:eastAsia="宋体"/>
          <w:szCs w:val="20"/>
        </w:rPr>
        <w:t>100 kN</w:t>
      </w:r>
      <w:r>
        <w:rPr>
          <w:rFonts w:hint="eastAsia" w:ascii="Times New Roman" w:eastAsia="宋体"/>
          <w:szCs w:val="20"/>
        </w:rPr>
        <w:t>或挤压变形量达到挤压方向的整体尺寸的</w:t>
      </w:r>
      <w:r>
        <w:rPr>
          <w:rFonts w:ascii="宋体" w:hAnsi="宋体" w:eastAsia="宋体"/>
          <w:szCs w:val="20"/>
        </w:rPr>
        <w:t>30%</w:t>
      </w:r>
      <w:r>
        <w:rPr>
          <w:rFonts w:hint="eastAsia" w:ascii="宋体" w:hAnsi="宋体" w:eastAsia="宋体"/>
          <w:szCs w:val="20"/>
        </w:rPr>
        <w:t>时停止挤压</w:t>
      </w:r>
      <w:bookmarkEnd w:id="1155"/>
      <w:bookmarkEnd w:id="1156"/>
      <w:r>
        <w:rPr>
          <w:rFonts w:hint="eastAsia" w:ascii="宋体" w:hAnsi="宋体" w:eastAsia="宋体"/>
          <w:szCs w:val="20"/>
        </w:rPr>
        <w:t>。</w:t>
      </w:r>
      <w:r>
        <w:rPr>
          <w:rFonts w:hint="eastAsia" w:ascii="宋体" w:hAnsi="宋体" w:eastAsia="宋体"/>
        </w:rPr>
        <w:t>对于带车身结构件</w:t>
      </w:r>
      <w:r>
        <w:rPr>
          <w:rFonts w:hint="eastAsia" w:ascii="宋体" w:hAnsi="宋体" w:eastAsia="宋体"/>
          <w:szCs w:val="20"/>
        </w:rPr>
        <w:t>进行挤压的情况，应以挤压力达到</w:t>
      </w:r>
      <w:r>
        <w:rPr>
          <w:rFonts w:ascii="Times New Roman" w:eastAsia="宋体"/>
          <w:szCs w:val="20"/>
        </w:rPr>
        <w:t>100 kN</w:t>
      </w:r>
      <w:r>
        <w:rPr>
          <w:rFonts w:hint="eastAsia" w:ascii="宋体" w:hAnsi="宋体" w:eastAsia="宋体"/>
          <w:szCs w:val="20"/>
        </w:rPr>
        <w:t>作为截止条件；</w:t>
      </w:r>
    </w:p>
    <w:p>
      <w:pPr>
        <w:pStyle w:val="51"/>
        <w:numPr>
          <w:ilvl w:val="0"/>
          <w:numId w:val="18"/>
        </w:numPr>
        <w:spacing w:before="0" w:beforeLines="0" w:after="0" w:afterLines="0"/>
        <w:ind w:left="839"/>
        <w:jc w:val="both"/>
        <w:rPr>
          <w:rFonts w:ascii="Times New Roman"/>
        </w:rPr>
      </w:pPr>
      <w:bookmarkStart w:id="1157" w:name="_Toc450729882"/>
      <w:bookmarkStart w:id="1158" w:name="_Toc450682995"/>
      <w:r>
        <w:rPr>
          <w:rFonts w:hint="eastAsia" w:ascii="Times New Roman" w:eastAsia="宋体"/>
          <w:szCs w:val="20"/>
        </w:rPr>
        <w:t>保持当前位移</w:t>
      </w:r>
      <w:r>
        <w:rPr>
          <w:rFonts w:ascii="Times New Roman" w:eastAsia="宋体"/>
          <w:szCs w:val="20"/>
        </w:rPr>
        <w:t>10 min</w:t>
      </w:r>
      <w:r>
        <w:rPr>
          <w:rFonts w:hint="eastAsia" w:ascii="Times New Roman" w:eastAsia="宋体"/>
          <w:szCs w:val="20"/>
        </w:rPr>
        <w:t>。</w:t>
      </w:r>
      <w:bookmarkEnd w:id="1157"/>
      <w:bookmarkEnd w:id="1158"/>
    </w:p>
    <w:p>
      <w:pPr>
        <w:pStyle w:val="51"/>
        <w:spacing w:before="156" w:after="156"/>
        <w:ind w:left="2" w:hanging="2"/>
        <w:jc w:val="both"/>
        <w:rPr>
          <w:rFonts w:ascii="Times New Roman" w:eastAsia="宋体"/>
          <w:szCs w:val="20"/>
        </w:rPr>
      </w:pPr>
      <w:bookmarkStart w:id="1159" w:name="_Toc450682996"/>
      <w:bookmarkStart w:id="1160" w:name="_Toc450729883"/>
      <w:bookmarkStart w:id="1161" w:name="_Toc468729562"/>
      <w:r>
        <w:rPr>
          <w:rFonts w:hint="eastAsia" w:ascii="Times New Roman" w:eastAsia="宋体"/>
          <w:szCs w:val="20"/>
        </w:rPr>
        <w:t>完成以上试验</w:t>
      </w:r>
      <w:r>
        <w:rPr>
          <w:rFonts w:ascii="Times New Roman" w:eastAsia="宋体"/>
          <w:szCs w:val="20"/>
        </w:rPr>
        <w:t>步骤后</w:t>
      </w:r>
      <w:r>
        <w:rPr>
          <w:rFonts w:hint="eastAsia" w:asciiTheme="minorEastAsia" w:hAnsiTheme="minorEastAsia" w:eastAsiaTheme="minorEastAsia"/>
        </w:rPr>
        <w:t>，在试验环境温度下观</w:t>
      </w:r>
      <w:r>
        <w:rPr>
          <w:rFonts w:hint="eastAsia" w:ascii="Times New Roman" w:eastAsia="宋体"/>
          <w:szCs w:val="20"/>
        </w:rPr>
        <w:t>察</w:t>
      </w:r>
      <w:r>
        <w:rPr>
          <w:rFonts w:ascii="Times New Roman" w:eastAsia="宋体"/>
          <w:szCs w:val="20"/>
        </w:rPr>
        <w:t xml:space="preserve">2 </w:t>
      </w:r>
      <w:r>
        <w:rPr>
          <w:rFonts w:hint="eastAsia" w:ascii="Times New Roman" w:eastAsia="宋体"/>
          <w:szCs w:val="20"/>
        </w:rPr>
        <w:t>h。</w:t>
      </w:r>
      <w:bookmarkEnd w:id="1159"/>
      <w:bookmarkEnd w:id="1160"/>
      <w:bookmarkEnd w:id="1161"/>
    </w:p>
    <w:p>
      <w:pPr>
        <w:pStyle w:val="23"/>
      </w:pPr>
    </w:p>
    <w:p>
      <w:pPr>
        <w:pStyle w:val="23"/>
        <w:spacing w:before="156" w:beforeLines="50"/>
        <w:ind w:firstLine="0" w:firstLineChars="0"/>
        <w:jc w:val="center"/>
      </w:pPr>
      <w:r>
        <w:drawing>
          <wp:inline distT="0" distB="0" distL="0" distR="0">
            <wp:extent cx="1891030" cy="136779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4"/>
                    <a:stretch>
                      <a:fillRect/>
                    </a:stretch>
                  </pic:blipFill>
                  <pic:spPr>
                    <a:xfrm>
                      <a:off x="0" y="0"/>
                      <a:ext cx="1891058" cy="1368000"/>
                    </a:xfrm>
                    <a:prstGeom prst="rect">
                      <a:avLst/>
                    </a:prstGeom>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图6 挤压板形式一示意图</w:t>
      </w:r>
    </w:p>
    <w:p>
      <w:pPr>
        <w:pStyle w:val="23"/>
        <w:spacing w:before="156" w:beforeLines="50"/>
        <w:ind w:firstLine="0" w:firstLineChars="0"/>
        <w:jc w:val="center"/>
      </w:pPr>
      <w:r>
        <w:drawing>
          <wp:inline distT="0" distB="0" distL="0" distR="0">
            <wp:extent cx="3231515" cy="143954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5"/>
                    <a:stretch>
                      <a:fillRect/>
                    </a:stretch>
                  </pic:blipFill>
                  <pic:spPr>
                    <a:xfrm>
                      <a:off x="0" y="0"/>
                      <a:ext cx="3232140" cy="1440000"/>
                    </a:xfrm>
                    <a:prstGeom prst="rect">
                      <a:avLst/>
                    </a:prstGeom>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图7 挤压板形式二示意图</w:t>
      </w:r>
    </w:p>
    <w:p>
      <w:pPr>
        <w:pStyle w:val="46"/>
        <w:spacing w:before="156" w:after="156"/>
        <w:ind w:left="2"/>
        <w:outlineLvl w:val="2"/>
        <w:rPr>
          <w:rFonts w:hAnsi="黑体"/>
        </w:rPr>
      </w:pPr>
      <w:bookmarkStart w:id="1162" w:name="_Toc504059446"/>
      <w:bookmarkStart w:id="1163" w:name="_Toc450682999"/>
      <w:bookmarkStart w:id="1164" w:name="_Toc513232543"/>
      <w:bookmarkStart w:id="1165" w:name="_Toc468729563"/>
      <w:bookmarkStart w:id="1166" w:name="_Toc513234362"/>
      <w:r>
        <w:rPr>
          <w:rFonts w:hint="eastAsia" w:hAnsi="黑体"/>
        </w:rPr>
        <w:t>湿热循环</w:t>
      </w:r>
      <w:bookmarkEnd w:id="1162"/>
      <w:bookmarkEnd w:id="1163"/>
      <w:bookmarkEnd w:id="1164"/>
      <w:bookmarkEnd w:id="1165"/>
      <w:bookmarkEnd w:id="1166"/>
    </w:p>
    <w:p>
      <w:pPr>
        <w:pStyle w:val="51"/>
        <w:spacing w:before="156" w:after="156"/>
        <w:ind w:left="2" w:hanging="2"/>
        <w:rPr>
          <w:rFonts w:asciiTheme="minorEastAsia" w:hAnsiTheme="minorEastAsia" w:eastAsiaTheme="minorEastAsia"/>
        </w:rPr>
      </w:pPr>
      <w:bookmarkStart w:id="1167" w:name="_Toc468729564"/>
      <w:r>
        <w:rPr>
          <w:rFonts w:hint="eastAsia" w:asciiTheme="minorEastAsia" w:hAnsiTheme="minorEastAsia" w:eastAsiaTheme="minorEastAsia"/>
        </w:rPr>
        <w:t>试验对象为电池包或系统。</w:t>
      </w:r>
      <w:bookmarkEnd w:id="1167"/>
    </w:p>
    <w:p>
      <w:pPr>
        <w:pStyle w:val="51"/>
        <w:spacing w:before="156" w:after="156"/>
        <w:ind w:left="2" w:hanging="2"/>
        <w:rPr>
          <w:rFonts w:asciiTheme="minorEastAsia" w:hAnsiTheme="minorEastAsia" w:eastAsiaTheme="minorEastAsia"/>
        </w:rPr>
      </w:pPr>
      <w:r>
        <w:rPr>
          <w:rFonts w:hint="eastAsia" w:asciiTheme="minorEastAsia" w:hAnsiTheme="minorEastAsia" w:eastAsiaTheme="minorEastAsia"/>
        </w:rPr>
        <w:t>为保护试验操作人员和实验室安全，制造商应提供电压异常限值作为异常终止条件。</w:t>
      </w:r>
    </w:p>
    <w:p>
      <w:pPr>
        <w:pStyle w:val="51"/>
        <w:spacing w:before="156" w:after="156"/>
        <w:ind w:left="2" w:hanging="2"/>
        <w:jc w:val="both"/>
        <w:rPr>
          <w:rFonts w:ascii="Times New Roman" w:eastAsia="宋体"/>
          <w:szCs w:val="20"/>
        </w:rPr>
      </w:pPr>
      <w:bookmarkStart w:id="1168" w:name="_Toc468729565"/>
      <w:r>
        <w:rPr>
          <w:rFonts w:hint="eastAsia" w:asciiTheme="minorEastAsia" w:hAnsiTheme="minorEastAsia" w:eastAsiaTheme="minorEastAsia"/>
        </w:rPr>
        <w:t>按照</w:t>
      </w:r>
      <w:r>
        <w:rPr>
          <w:rFonts w:ascii="Times New Roman" w:eastAsiaTheme="minorEastAsia"/>
        </w:rPr>
        <w:t>GB/T 2423.4</w:t>
      </w:r>
      <w:r>
        <w:rPr>
          <w:rFonts w:hint="eastAsia" w:asciiTheme="minorEastAsia" w:hAnsiTheme="minorEastAsia" w:eastAsiaTheme="minorEastAsia"/>
        </w:rPr>
        <w:t>执行试验</w:t>
      </w:r>
      <w:r>
        <w:rPr>
          <w:rFonts w:ascii="Times New Roman" w:eastAsiaTheme="minorEastAsia"/>
        </w:rPr>
        <w:t>Db</w:t>
      </w:r>
      <w:r>
        <w:rPr>
          <w:rFonts w:hint="eastAsia" w:asciiTheme="minorEastAsia" w:hAnsiTheme="minorEastAsia" w:eastAsiaTheme="minorEastAsia"/>
        </w:rPr>
        <w:t>，变量如图</w:t>
      </w:r>
      <w:r>
        <w:rPr>
          <w:rFonts w:hint="eastAsia" w:ascii="Times New Roman" w:eastAsiaTheme="minorEastAsia"/>
        </w:rPr>
        <w:t>8所示</w:t>
      </w:r>
      <w:r>
        <w:rPr>
          <w:rFonts w:hint="eastAsia" w:asciiTheme="minorEastAsia" w:hAnsiTheme="minorEastAsia" w:eastAsiaTheme="minorEastAsia"/>
        </w:rPr>
        <w:t>。其中最高温度是</w:t>
      </w:r>
      <w:r>
        <w:rPr>
          <w:rFonts w:ascii="Times New Roman" w:eastAsiaTheme="minorEastAsia"/>
        </w:rPr>
        <w:t>60</w:t>
      </w:r>
      <w:r>
        <w:rPr>
          <w:rFonts w:hint="eastAsia" w:ascii="Times New Roman" w:eastAsiaTheme="minorEastAsia"/>
        </w:rPr>
        <w:t>℃±3</w:t>
      </w:r>
      <w:r>
        <w:rPr>
          <w:rFonts w:ascii="Times New Roman" w:eastAsiaTheme="minorEastAsia"/>
        </w:rPr>
        <w:t xml:space="preserve"> </w:t>
      </w:r>
      <w:r>
        <w:rPr>
          <w:rFonts w:hint="eastAsia" w:asciiTheme="minorEastAsia" w:hAnsiTheme="minorEastAsia" w:eastAsiaTheme="minorEastAsia"/>
        </w:rPr>
        <w:t>℃或</w:t>
      </w:r>
      <w:r>
        <w:rPr>
          <w:rFonts w:asciiTheme="minorEastAsia" w:hAnsiTheme="minorEastAsia" w:eastAsiaTheme="minorEastAsia"/>
        </w:rPr>
        <w:t>更高温度（如果制造</w:t>
      </w:r>
      <w:r>
        <w:rPr>
          <w:rFonts w:ascii="宋体" w:hAnsi="宋体" w:eastAsia="宋体" w:cs="宋体"/>
          <w:szCs w:val="20"/>
        </w:rPr>
        <w:t>商要求）</w:t>
      </w:r>
      <w:r>
        <w:rPr>
          <w:rFonts w:hint="eastAsia" w:ascii="Times New Roman" w:eastAsia="宋体"/>
          <w:szCs w:val="20"/>
        </w:rPr>
        <w:t>，循环5次。</w:t>
      </w:r>
    </w:p>
    <w:p>
      <w:pPr>
        <w:pStyle w:val="51"/>
        <w:spacing w:before="156" w:after="156"/>
        <w:ind w:left="2" w:hanging="2"/>
        <w:rPr>
          <w:rFonts w:ascii="Times New Roman" w:eastAsia="宋体"/>
          <w:szCs w:val="20"/>
        </w:rPr>
      </w:pPr>
      <w:r>
        <w:rPr>
          <w:rFonts w:hint="eastAsia" w:ascii="Times New Roman" w:eastAsia="宋体"/>
          <w:szCs w:val="20"/>
        </w:rPr>
        <w:t>完成以上试验</w:t>
      </w:r>
      <w:r>
        <w:rPr>
          <w:rFonts w:ascii="Times New Roman" w:eastAsia="宋体"/>
          <w:szCs w:val="20"/>
        </w:rPr>
        <w:t>步骤后</w:t>
      </w:r>
      <w:r>
        <w:rPr>
          <w:rFonts w:hint="eastAsia" w:ascii="Times New Roman" w:eastAsia="宋体"/>
          <w:szCs w:val="20"/>
        </w:rPr>
        <w:t>，在试验环境</w:t>
      </w:r>
      <w:r>
        <w:rPr>
          <w:rFonts w:ascii="Times New Roman" w:eastAsia="宋体"/>
          <w:szCs w:val="20"/>
        </w:rPr>
        <w:t>温度</w:t>
      </w:r>
      <w:r>
        <w:rPr>
          <w:rFonts w:hint="eastAsia" w:ascii="Times New Roman" w:eastAsia="宋体"/>
          <w:szCs w:val="20"/>
        </w:rPr>
        <w:t>下观察2</w:t>
      </w:r>
      <w:r>
        <w:rPr>
          <w:rFonts w:ascii="Times New Roman" w:eastAsia="宋体"/>
          <w:szCs w:val="20"/>
        </w:rPr>
        <w:t xml:space="preserve"> </w:t>
      </w:r>
      <w:r>
        <w:rPr>
          <w:rFonts w:hint="eastAsia" w:ascii="Times New Roman" w:eastAsia="宋体"/>
          <w:szCs w:val="20"/>
        </w:rPr>
        <w:t>h。</w:t>
      </w:r>
      <w:bookmarkEnd w:id="1168"/>
    </w:p>
    <w:p>
      <w:pPr>
        <w:pStyle w:val="23"/>
        <w:spacing w:before="156" w:beforeLines="50"/>
        <w:ind w:firstLine="0" w:firstLineChars="0"/>
        <w:jc w:val="center"/>
      </w:pPr>
      <w:r>
        <w:drawing>
          <wp:inline distT="0" distB="0" distL="0" distR="0">
            <wp:extent cx="3598545" cy="26924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6"/>
                    <a:stretch>
                      <a:fillRect/>
                    </a:stretch>
                  </pic:blipFill>
                  <pic:spPr>
                    <a:xfrm>
                      <a:off x="0" y="0"/>
                      <a:ext cx="3598789" cy="2692800"/>
                    </a:xfrm>
                    <a:prstGeom prst="rect">
                      <a:avLst/>
                    </a:prstGeom>
                  </pic:spPr>
                </pic:pic>
              </a:graphicData>
            </a:graphic>
          </wp:inline>
        </w:drawing>
      </w:r>
    </w:p>
    <w:p>
      <w:pPr>
        <w:pStyle w:val="23"/>
        <w:spacing w:before="312" w:beforeLines="100"/>
        <w:ind w:firstLine="0" w:firstLineChars="0"/>
        <w:jc w:val="center"/>
        <w:rPr>
          <w:rFonts w:ascii="Times New Roman"/>
        </w:rPr>
      </w:pPr>
      <w:r>
        <w:drawing>
          <wp:inline distT="0" distB="0" distL="0" distR="0">
            <wp:extent cx="3422015" cy="2692400"/>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17"/>
                    <a:stretch>
                      <a:fillRect/>
                    </a:stretch>
                  </pic:blipFill>
                  <pic:spPr>
                    <a:xfrm>
                      <a:off x="0" y="0"/>
                      <a:ext cx="3422100" cy="2692800"/>
                    </a:xfrm>
                    <a:prstGeom prst="rect">
                      <a:avLst/>
                    </a:prstGeom>
                  </pic:spPr>
                </pic:pic>
              </a:graphicData>
            </a:graphic>
          </wp:inline>
        </w:drawing>
      </w:r>
    </w:p>
    <w:p>
      <w:pPr>
        <w:pStyle w:val="23"/>
        <w:ind w:firstLine="360"/>
        <w:rPr>
          <w:rFonts w:ascii="Times New Roman"/>
          <w:sz w:val="18"/>
          <w:szCs w:val="18"/>
        </w:rPr>
      </w:pPr>
      <w:bookmarkStart w:id="1169" w:name="_Toc450683000"/>
      <w:bookmarkStart w:id="1170" w:name="_Toc450729887"/>
      <w:r>
        <w:rPr>
          <w:rFonts w:hint="eastAsia" w:ascii="Times New Roman"/>
          <w:sz w:val="18"/>
          <w:szCs w:val="18"/>
        </w:rPr>
        <w:t>说明：</w:t>
      </w:r>
    </w:p>
    <w:p>
      <w:pPr>
        <w:pStyle w:val="23"/>
        <w:ind w:firstLine="360"/>
        <w:rPr>
          <w:rFonts w:ascii="Times New Roman"/>
          <w:sz w:val="18"/>
          <w:szCs w:val="18"/>
        </w:rPr>
      </w:pPr>
      <w:r>
        <w:rPr>
          <w:rFonts w:ascii="Times New Roman"/>
          <w:sz w:val="18"/>
          <w:szCs w:val="18"/>
        </w:rPr>
        <w:t>Y1——相对湿度</w:t>
      </w:r>
      <w:r>
        <w:rPr>
          <w:rFonts w:hint="eastAsia" w:ascii="Times New Roman"/>
          <w:sz w:val="18"/>
          <w:szCs w:val="18"/>
        </w:rPr>
        <w:t>，%；</w:t>
      </w:r>
    </w:p>
    <w:p>
      <w:pPr>
        <w:pStyle w:val="23"/>
        <w:ind w:firstLine="360"/>
        <w:rPr>
          <w:rFonts w:ascii="Times New Roman"/>
          <w:sz w:val="18"/>
          <w:szCs w:val="18"/>
        </w:rPr>
      </w:pPr>
      <w:r>
        <w:rPr>
          <w:rFonts w:ascii="Times New Roman"/>
          <w:sz w:val="18"/>
          <w:szCs w:val="18"/>
        </w:rPr>
        <w:t>Y2——温度</w:t>
      </w:r>
      <w:r>
        <w:rPr>
          <w:rFonts w:hint="eastAsia" w:ascii="Times New Roman"/>
          <w:sz w:val="18"/>
          <w:szCs w:val="18"/>
        </w:rPr>
        <w:t>，℃；</w:t>
      </w:r>
    </w:p>
    <w:p>
      <w:pPr>
        <w:pStyle w:val="23"/>
        <w:ind w:firstLine="360"/>
        <w:rPr>
          <w:rFonts w:ascii="Times New Roman"/>
          <w:sz w:val="18"/>
          <w:szCs w:val="18"/>
        </w:rPr>
      </w:pPr>
      <w:r>
        <w:rPr>
          <w:rFonts w:ascii="Times New Roman"/>
          <w:sz w:val="18"/>
          <w:szCs w:val="18"/>
        </w:rPr>
        <w:t>X——时间，h；</w:t>
      </w:r>
    </w:p>
    <w:p>
      <w:pPr>
        <w:pStyle w:val="23"/>
        <w:ind w:firstLine="360"/>
        <w:rPr>
          <w:rFonts w:ascii="Times New Roman"/>
          <w:sz w:val="18"/>
          <w:szCs w:val="18"/>
        </w:rPr>
      </w:pPr>
      <w:r>
        <w:rPr>
          <w:rFonts w:hint="eastAsia" w:ascii="Times New Roman"/>
          <w:sz w:val="18"/>
          <w:szCs w:val="18"/>
        </w:rPr>
        <w:t>a</w:t>
      </w:r>
      <w:r>
        <w:rPr>
          <w:rFonts w:ascii="Times New Roman"/>
          <w:sz w:val="18"/>
          <w:szCs w:val="18"/>
        </w:rPr>
        <w:t>——</w:t>
      </w:r>
      <w:r>
        <w:rPr>
          <w:rFonts w:hint="eastAsia" w:ascii="Times New Roman"/>
          <w:sz w:val="18"/>
          <w:szCs w:val="18"/>
        </w:rPr>
        <w:t>升温结束； b</w:t>
      </w:r>
      <w:r>
        <w:rPr>
          <w:rFonts w:ascii="Times New Roman"/>
          <w:sz w:val="18"/>
          <w:szCs w:val="18"/>
        </w:rPr>
        <w:t>——</w:t>
      </w:r>
      <w:r>
        <w:rPr>
          <w:rFonts w:hint="eastAsia" w:ascii="Times New Roman"/>
          <w:sz w:val="18"/>
          <w:szCs w:val="18"/>
        </w:rPr>
        <w:t>降温开始； c</w:t>
      </w:r>
      <w:r>
        <w:rPr>
          <w:rFonts w:ascii="Times New Roman"/>
          <w:sz w:val="18"/>
          <w:szCs w:val="18"/>
        </w:rPr>
        <w:t>——</w:t>
      </w:r>
      <w:r>
        <w:rPr>
          <w:rFonts w:hint="eastAsia" w:ascii="Times New Roman"/>
          <w:sz w:val="18"/>
          <w:szCs w:val="18"/>
        </w:rPr>
        <w:t>推荐温湿度值；</w:t>
      </w:r>
    </w:p>
    <w:p>
      <w:pPr>
        <w:pStyle w:val="23"/>
        <w:ind w:firstLine="360"/>
        <w:rPr>
          <w:rFonts w:ascii="Times New Roman"/>
          <w:sz w:val="18"/>
          <w:szCs w:val="18"/>
        </w:rPr>
      </w:pPr>
      <w:r>
        <w:rPr>
          <w:rFonts w:hint="eastAsia" w:ascii="Times New Roman"/>
          <w:sz w:val="18"/>
          <w:szCs w:val="18"/>
        </w:rPr>
        <w:t>d</w:t>
      </w:r>
      <w:r>
        <w:rPr>
          <w:rFonts w:ascii="Times New Roman"/>
          <w:sz w:val="18"/>
          <w:szCs w:val="18"/>
        </w:rPr>
        <w:t>——</w:t>
      </w:r>
      <w:r>
        <w:rPr>
          <w:rFonts w:hint="eastAsia" w:ascii="Times New Roman"/>
          <w:sz w:val="18"/>
          <w:szCs w:val="18"/>
        </w:rPr>
        <w:t>冷凝</w:t>
      </w:r>
      <w:bookmarkEnd w:id="1169"/>
      <w:bookmarkEnd w:id="1170"/>
      <w:r>
        <w:rPr>
          <w:rFonts w:hint="eastAsia" w:ascii="Times New Roman"/>
          <w:sz w:val="18"/>
          <w:szCs w:val="18"/>
        </w:rPr>
        <w:t>； e</w:t>
      </w:r>
      <w:r>
        <w:rPr>
          <w:rFonts w:ascii="Times New Roman"/>
          <w:sz w:val="18"/>
          <w:szCs w:val="18"/>
        </w:rPr>
        <w:t>——</w:t>
      </w:r>
      <w:r>
        <w:rPr>
          <w:rFonts w:hint="eastAsia" w:ascii="Times New Roman"/>
          <w:sz w:val="18"/>
          <w:szCs w:val="18"/>
        </w:rPr>
        <w:t>干燥； f</w:t>
      </w:r>
      <w:r>
        <w:rPr>
          <w:rFonts w:ascii="Times New Roman"/>
          <w:sz w:val="18"/>
          <w:szCs w:val="18"/>
        </w:rPr>
        <w:t>——</w:t>
      </w:r>
      <w:r>
        <w:rPr>
          <w:rFonts w:hint="eastAsia" w:ascii="Times New Roman"/>
          <w:sz w:val="18"/>
          <w:szCs w:val="18"/>
        </w:rPr>
        <w:t>一个循环周期。</w:t>
      </w:r>
    </w:p>
    <w:p>
      <w:pPr>
        <w:pStyle w:val="23"/>
        <w:spacing w:before="156" w:beforeLines="50" w:after="156" w:afterLines="50"/>
        <w:ind w:firstLine="0" w:firstLineChars="0"/>
        <w:jc w:val="center"/>
        <w:rPr>
          <w:rFonts w:ascii="黑体" w:hAnsi="黑体" w:eastAsia="黑体"/>
        </w:rPr>
      </w:pPr>
      <w:bookmarkStart w:id="1171" w:name="_Toc450683001"/>
      <w:bookmarkStart w:id="1172" w:name="_Toc450729888"/>
      <w:r>
        <w:rPr>
          <w:rFonts w:hint="eastAsia" w:ascii="黑体" w:hAnsi="黑体" w:eastAsia="黑体"/>
        </w:rPr>
        <w:t>图8</w:t>
      </w:r>
      <w:r>
        <w:rPr>
          <w:rFonts w:ascii="黑体" w:hAnsi="黑体" w:eastAsia="黑体"/>
        </w:rPr>
        <w:t xml:space="preserve"> </w:t>
      </w:r>
      <w:r>
        <w:rPr>
          <w:rFonts w:hint="eastAsia" w:ascii="黑体" w:hAnsi="黑体" w:eastAsia="黑体"/>
        </w:rPr>
        <w:t>温湿度循环</w:t>
      </w:r>
      <w:bookmarkEnd w:id="1171"/>
      <w:bookmarkEnd w:id="1172"/>
    </w:p>
    <w:p>
      <w:pPr>
        <w:pStyle w:val="46"/>
        <w:spacing w:before="156" w:after="156"/>
        <w:ind w:left="2"/>
        <w:outlineLvl w:val="2"/>
        <w:rPr>
          <w:rFonts w:hAnsi="黑体"/>
        </w:rPr>
      </w:pPr>
      <w:bookmarkStart w:id="1173" w:name="_Toc504059447"/>
      <w:bookmarkStart w:id="1174" w:name="_Toc513234363"/>
      <w:bookmarkStart w:id="1175" w:name="_Toc513232544"/>
      <w:r>
        <w:rPr>
          <w:rFonts w:hint="eastAsia" w:hAnsi="黑体"/>
        </w:rPr>
        <w:t>浸水</w:t>
      </w:r>
      <w:bookmarkEnd w:id="1173"/>
      <w:bookmarkEnd w:id="1174"/>
      <w:bookmarkEnd w:id="1175"/>
    </w:p>
    <w:p>
      <w:pPr>
        <w:pStyle w:val="51"/>
        <w:spacing w:before="156" w:after="156"/>
        <w:ind w:left="2" w:hanging="2"/>
        <w:rPr>
          <w:rFonts w:ascii="Times New Roman" w:eastAsiaTheme="minorEastAsia"/>
        </w:rPr>
      </w:pPr>
      <w:bookmarkStart w:id="1176" w:name="_Toc468729571"/>
      <w:r>
        <w:rPr>
          <w:rFonts w:ascii="Times New Roman" w:eastAsiaTheme="minorEastAsia"/>
        </w:rPr>
        <w:t>试验对象为通过8.2.1振动试验后的电池包或系统</w:t>
      </w:r>
      <w:bookmarkEnd w:id="1176"/>
      <w:r>
        <w:rPr>
          <w:rFonts w:ascii="Times New Roman" w:eastAsiaTheme="minorEastAsia"/>
        </w:rPr>
        <w:t xml:space="preserve">。 </w:t>
      </w:r>
    </w:p>
    <w:p>
      <w:pPr>
        <w:pStyle w:val="51"/>
        <w:spacing w:before="156" w:after="156"/>
        <w:ind w:left="2" w:hanging="2"/>
        <w:rPr>
          <w:rFonts w:ascii="Times New Roman" w:eastAsia="宋体"/>
          <w:szCs w:val="20"/>
        </w:rPr>
      </w:pPr>
      <w:bookmarkStart w:id="1177" w:name="_Toc468729575"/>
      <w:r>
        <w:rPr>
          <w:rFonts w:hint="eastAsia" w:asciiTheme="minorEastAsia" w:hAnsiTheme="minorEastAsia" w:eastAsiaTheme="minorEastAsia"/>
        </w:rPr>
        <w:t>试验对象</w:t>
      </w:r>
      <w:r>
        <w:rPr>
          <w:rFonts w:hint="eastAsia" w:ascii="Times New Roman" w:eastAsia="宋体"/>
          <w:szCs w:val="20"/>
        </w:rPr>
        <w:t>按照整车连接方式连接好线束、接插件等零部件，</w:t>
      </w:r>
      <w:r>
        <w:rPr>
          <w:rFonts w:hint="eastAsia" w:asciiTheme="minorEastAsia" w:hAnsiTheme="minorEastAsia" w:eastAsiaTheme="minorEastAsia"/>
        </w:rPr>
        <w:t>选择以下两种方式中的一种进行试验：</w:t>
      </w:r>
      <w:bookmarkEnd w:id="1177"/>
    </w:p>
    <w:p>
      <w:pPr>
        <w:pStyle w:val="51"/>
        <w:numPr>
          <w:ilvl w:val="0"/>
          <w:numId w:val="19"/>
        </w:numPr>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方式一：试验对象以实车装配方向置于</w:t>
      </w:r>
      <w:r>
        <w:rPr>
          <w:rFonts w:ascii="Times New Roman" w:eastAsiaTheme="minorEastAsia"/>
        </w:rPr>
        <w:t xml:space="preserve">3.5% </w:t>
      </w:r>
      <w:r>
        <w:rPr>
          <w:rFonts w:hint="eastAsia" w:asciiTheme="minorEastAsia" w:hAnsiTheme="minorEastAsia" w:eastAsiaTheme="minorEastAsia"/>
        </w:rPr>
        <w:t>（质量分数）</w:t>
      </w:r>
      <w:r>
        <w:rPr>
          <w:rFonts w:hint="eastAsia" w:ascii="Times New Roman" w:eastAsiaTheme="minorEastAsia"/>
        </w:rPr>
        <w:t>氯化钠</w:t>
      </w:r>
      <w:r>
        <w:rPr>
          <w:rFonts w:hint="eastAsia" w:asciiTheme="minorEastAsia" w:hAnsiTheme="minorEastAsia" w:eastAsiaTheme="minorEastAsia"/>
        </w:rPr>
        <w:t>溶液中</w:t>
      </w:r>
      <w:r>
        <w:rPr>
          <w:rFonts w:ascii="Times New Roman" w:eastAsiaTheme="minorEastAsia"/>
        </w:rPr>
        <w:t>2 h</w:t>
      </w:r>
      <w:r>
        <w:rPr>
          <w:rFonts w:hint="eastAsia" w:asciiTheme="minorEastAsia" w:hAnsiTheme="minorEastAsia" w:eastAsiaTheme="minorEastAsia"/>
        </w:rPr>
        <w:t>，水深要足以淹没试验对象；</w:t>
      </w:r>
    </w:p>
    <w:p>
      <w:pPr>
        <w:pStyle w:val="51"/>
        <w:numPr>
          <w:ilvl w:val="0"/>
          <w:numId w:val="19"/>
        </w:numPr>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方式二：试验对象按照</w:t>
      </w:r>
      <w:r>
        <w:rPr>
          <w:rFonts w:ascii="Times New Roman" w:eastAsiaTheme="minorEastAsia"/>
        </w:rPr>
        <w:t>GB/T 4208</w:t>
      </w:r>
      <w:r>
        <w:rPr>
          <w:rFonts w:hint="eastAsia" w:ascii="Times New Roman"/>
        </w:rPr>
        <w:t>—</w:t>
      </w:r>
      <w:r>
        <w:rPr>
          <w:rFonts w:ascii="Times New Roman" w:eastAsiaTheme="minorEastAsia"/>
        </w:rPr>
        <w:t>2017</w:t>
      </w:r>
      <w:r>
        <w:rPr>
          <w:rFonts w:hint="eastAsia" w:asciiTheme="minorEastAsia" w:hAnsiTheme="minorEastAsia" w:eastAsiaTheme="minorEastAsia"/>
        </w:rPr>
        <w:t>中</w:t>
      </w:r>
      <w:r>
        <w:rPr>
          <w:rFonts w:ascii="Times New Roman" w:eastAsiaTheme="minorEastAsia"/>
        </w:rPr>
        <w:t>14.2.7</w:t>
      </w:r>
      <w:r>
        <w:rPr>
          <w:rFonts w:hint="eastAsia" w:asciiTheme="minorEastAsia" w:hAnsiTheme="minorEastAsia" w:eastAsiaTheme="minorEastAsia"/>
        </w:rPr>
        <w:t>所述方法和流程进行试验。试验</w:t>
      </w:r>
      <w:r>
        <w:rPr>
          <w:rFonts w:asciiTheme="minorEastAsia" w:hAnsiTheme="minorEastAsia" w:eastAsiaTheme="minorEastAsia"/>
        </w:rPr>
        <w:t>对象</w:t>
      </w:r>
      <w:r>
        <w:rPr>
          <w:rFonts w:hint="eastAsia" w:asciiTheme="minorEastAsia" w:hAnsiTheme="minorEastAsia" w:eastAsiaTheme="minorEastAsia"/>
        </w:rPr>
        <w:t>按照制造商</w:t>
      </w:r>
      <w:r>
        <w:rPr>
          <w:rFonts w:asciiTheme="minorEastAsia" w:hAnsiTheme="minorEastAsia" w:eastAsiaTheme="minorEastAsia"/>
        </w:rPr>
        <w:t>规定的</w:t>
      </w:r>
      <w:r>
        <w:rPr>
          <w:rFonts w:hint="eastAsia" w:asciiTheme="minorEastAsia" w:hAnsiTheme="minorEastAsia" w:eastAsiaTheme="minorEastAsia"/>
        </w:rPr>
        <w:t>安装</w:t>
      </w:r>
      <w:r>
        <w:rPr>
          <w:rFonts w:asciiTheme="minorEastAsia" w:hAnsiTheme="minorEastAsia" w:eastAsiaTheme="minorEastAsia"/>
        </w:rPr>
        <w:t>状态全部</w:t>
      </w:r>
      <w:r>
        <w:rPr>
          <w:rFonts w:hint="eastAsia" w:asciiTheme="minorEastAsia" w:hAnsiTheme="minorEastAsia" w:eastAsiaTheme="minorEastAsia"/>
        </w:rPr>
        <w:t>浸入</w:t>
      </w:r>
      <w:r>
        <w:rPr>
          <w:rFonts w:asciiTheme="minorEastAsia" w:hAnsiTheme="minorEastAsia" w:eastAsiaTheme="minorEastAsia"/>
        </w:rPr>
        <w:t>水中。</w:t>
      </w:r>
      <w:r>
        <w:rPr>
          <w:rFonts w:hint="eastAsia" w:asciiTheme="minorEastAsia" w:hAnsiTheme="minorEastAsia" w:eastAsiaTheme="minorEastAsia"/>
        </w:rPr>
        <w:t>对于高度小于</w:t>
      </w:r>
      <w:r>
        <w:rPr>
          <w:rFonts w:ascii="Times New Roman" w:eastAsiaTheme="minorEastAsia"/>
        </w:rPr>
        <w:t>850 mm</w:t>
      </w:r>
      <w:r>
        <w:rPr>
          <w:rFonts w:hint="eastAsia" w:asciiTheme="minorEastAsia" w:hAnsiTheme="minorEastAsia" w:eastAsiaTheme="minorEastAsia"/>
        </w:rPr>
        <w:t>的试验对象，</w:t>
      </w:r>
      <w:r>
        <w:rPr>
          <w:rFonts w:asciiTheme="minorEastAsia" w:hAnsiTheme="minorEastAsia" w:eastAsiaTheme="minorEastAsia"/>
        </w:rPr>
        <w:t>其最低点</w:t>
      </w:r>
      <w:r>
        <w:rPr>
          <w:rFonts w:hint="eastAsia" w:asciiTheme="minorEastAsia" w:hAnsiTheme="minorEastAsia" w:eastAsiaTheme="minorEastAsia"/>
        </w:rPr>
        <w:t>应</w:t>
      </w:r>
      <w:r>
        <w:rPr>
          <w:rFonts w:asciiTheme="minorEastAsia" w:hAnsiTheme="minorEastAsia" w:eastAsiaTheme="minorEastAsia"/>
        </w:rPr>
        <w:t>低于</w:t>
      </w:r>
      <w:r>
        <w:rPr>
          <w:rFonts w:hint="eastAsia" w:asciiTheme="minorEastAsia" w:hAnsiTheme="minorEastAsia" w:eastAsiaTheme="minorEastAsia"/>
        </w:rPr>
        <w:t>水面</w:t>
      </w:r>
      <w:r>
        <w:rPr>
          <w:rFonts w:ascii="Times New Roman" w:eastAsiaTheme="minorEastAsia"/>
        </w:rPr>
        <w:t>1000 mm</w:t>
      </w:r>
      <w:r>
        <w:rPr>
          <w:rFonts w:hint="eastAsia" w:asciiTheme="minorEastAsia" w:hAnsiTheme="minorEastAsia" w:eastAsiaTheme="minorEastAsia"/>
        </w:rPr>
        <w:t>；</w:t>
      </w:r>
      <w:r>
        <w:rPr>
          <w:rFonts w:asciiTheme="minorEastAsia" w:hAnsiTheme="minorEastAsia" w:eastAsiaTheme="minorEastAsia"/>
        </w:rPr>
        <w:t>对于高度</w:t>
      </w:r>
      <w:r>
        <w:rPr>
          <w:rFonts w:hint="eastAsia" w:asciiTheme="minorEastAsia" w:hAnsiTheme="minorEastAsia" w:eastAsiaTheme="minorEastAsia"/>
        </w:rPr>
        <w:t>等于</w:t>
      </w:r>
      <w:r>
        <w:rPr>
          <w:rFonts w:asciiTheme="minorEastAsia" w:hAnsiTheme="minorEastAsia" w:eastAsiaTheme="minorEastAsia"/>
        </w:rPr>
        <w:t>或大于</w:t>
      </w:r>
      <w:r>
        <w:rPr>
          <w:rFonts w:ascii="Times New Roman" w:eastAsiaTheme="minorEastAsia"/>
        </w:rPr>
        <w:t>850 mm</w:t>
      </w:r>
      <w:r>
        <w:rPr>
          <w:rFonts w:hint="eastAsia" w:asciiTheme="minorEastAsia" w:hAnsiTheme="minorEastAsia" w:eastAsiaTheme="minorEastAsia"/>
        </w:rPr>
        <w:t>的</w:t>
      </w:r>
      <w:r>
        <w:rPr>
          <w:rFonts w:asciiTheme="minorEastAsia" w:hAnsiTheme="minorEastAsia" w:eastAsiaTheme="minorEastAsia"/>
        </w:rPr>
        <w:t>试验对象，其最高点</w:t>
      </w:r>
      <w:r>
        <w:rPr>
          <w:rFonts w:hint="eastAsia" w:asciiTheme="minorEastAsia" w:hAnsiTheme="minorEastAsia" w:eastAsiaTheme="minorEastAsia"/>
        </w:rPr>
        <w:t>应</w:t>
      </w:r>
      <w:r>
        <w:rPr>
          <w:rFonts w:asciiTheme="minorEastAsia" w:hAnsiTheme="minorEastAsia" w:eastAsiaTheme="minorEastAsia"/>
        </w:rPr>
        <w:t>低于水面</w:t>
      </w:r>
      <w:r>
        <w:rPr>
          <w:rFonts w:ascii="Times New Roman" w:eastAsiaTheme="minorEastAsia"/>
        </w:rPr>
        <w:t>150 mm</w:t>
      </w:r>
      <w:r>
        <w:rPr>
          <w:rFonts w:hint="eastAsia" w:asciiTheme="minorEastAsia" w:hAnsiTheme="minorEastAsia" w:eastAsiaTheme="minorEastAsia"/>
        </w:rPr>
        <w:t>。试验</w:t>
      </w:r>
      <w:r>
        <w:rPr>
          <w:rFonts w:asciiTheme="minorEastAsia" w:hAnsiTheme="minorEastAsia" w:eastAsiaTheme="minorEastAsia"/>
        </w:rPr>
        <w:t>持续时间</w:t>
      </w:r>
      <w:r>
        <w:rPr>
          <w:rFonts w:ascii="Times New Roman" w:eastAsiaTheme="minorEastAsia"/>
        </w:rPr>
        <w:t>30 min</w:t>
      </w:r>
      <w:r>
        <w:rPr>
          <w:rFonts w:hint="eastAsia" w:asciiTheme="minorEastAsia" w:hAnsiTheme="minorEastAsia" w:eastAsiaTheme="minorEastAsia"/>
        </w:rPr>
        <w:t>。水温与</w:t>
      </w:r>
      <w:r>
        <w:rPr>
          <w:rFonts w:asciiTheme="minorEastAsia" w:hAnsiTheme="minorEastAsia" w:eastAsiaTheme="minorEastAsia"/>
        </w:rPr>
        <w:t>试验对象温差不大于</w:t>
      </w:r>
      <w:r>
        <w:rPr>
          <w:rFonts w:ascii="Times New Roman" w:eastAsiaTheme="minorEastAsia"/>
        </w:rPr>
        <w:t xml:space="preserve">5 </w:t>
      </w:r>
      <w:r>
        <w:rPr>
          <w:rFonts w:hint="eastAsia" w:ascii="宋体" w:hAnsi="宋体" w:eastAsia="宋体" w:cs="宋体"/>
        </w:rPr>
        <w:t>℃</w:t>
      </w:r>
      <w:r>
        <w:rPr>
          <w:rFonts w:asciiTheme="minorEastAsia" w:hAnsiTheme="minorEastAsia" w:eastAsiaTheme="minorEastAsia"/>
        </w:rPr>
        <w:t>。</w:t>
      </w:r>
    </w:p>
    <w:p>
      <w:pPr>
        <w:pStyle w:val="51"/>
        <w:spacing w:before="156" w:after="156"/>
        <w:ind w:left="2" w:hanging="2"/>
        <w:rPr>
          <w:rFonts w:ascii="Times New Roman" w:eastAsiaTheme="minorEastAsia"/>
        </w:rPr>
      </w:pPr>
      <w:r>
        <w:rPr>
          <w:rFonts w:hint="eastAsia" w:ascii="Times New Roman" w:eastAsiaTheme="minorEastAsia"/>
        </w:rPr>
        <w:t>将电池包取出水面，在</w:t>
      </w:r>
      <w:r>
        <w:rPr>
          <w:rFonts w:ascii="Times New Roman" w:eastAsiaTheme="minorEastAsia"/>
        </w:rPr>
        <w:t>试验</w:t>
      </w:r>
      <w:r>
        <w:rPr>
          <w:rFonts w:hint="eastAsia" w:ascii="Times New Roman" w:eastAsiaTheme="minorEastAsia"/>
        </w:rPr>
        <w:t>环境</w:t>
      </w:r>
      <w:r>
        <w:rPr>
          <w:rFonts w:ascii="Times New Roman" w:eastAsiaTheme="minorEastAsia"/>
        </w:rPr>
        <w:t>温度下</w:t>
      </w:r>
      <w:r>
        <w:rPr>
          <w:rFonts w:hint="eastAsia" w:ascii="Times New Roman" w:eastAsiaTheme="minorEastAsia"/>
        </w:rPr>
        <w:t>静置观察2</w:t>
      </w:r>
      <w:r>
        <w:rPr>
          <w:rFonts w:ascii="Times New Roman" w:eastAsiaTheme="minorEastAsia"/>
        </w:rPr>
        <w:t xml:space="preserve"> </w:t>
      </w:r>
      <w:r>
        <w:rPr>
          <w:rFonts w:hint="eastAsia" w:ascii="Times New Roman" w:eastAsiaTheme="minorEastAsia"/>
        </w:rPr>
        <w:t>h。</w:t>
      </w:r>
    </w:p>
    <w:p>
      <w:pPr>
        <w:pStyle w:val="46"/>
        <w:spacing w:before="156" w:after="156"/>
        <w:ind w:left="2"/>
        <w:outlineLvl w:val="2"/>
        <w:rPr>
          <w:rFonts w:hAnsi="黑体"/>
        </w:rPr>
      </w:pPr>
      <w:bookmarkStart w:id="1178" w:name="_Toc513232545"/>
      <w:bookmarkStart w:id="1179" w:name="_Toc513234364"/>
      <w:bookmarkStart w:id="1180" w:name="_Toc504059448"/>
      <w:r>
        <w:rPr>
          <w:rFonts w:hint="eastAsia" w:hAnsi="黑体"/>
        </w:rPr>
        <w:t>热稳定性</w:t>
      </w:r>
      <w:bookmarkEnd w:id="1178"/>
      <w:bookmarkEnd w:id="1179"/>
      <w:bookmarkEnd w:id="1180"/>
    </w:p>
    <w:p>
      <w:pPr>
        <w:pStyle w:val="51"/>
        <w:spacing w:before="156" w:after="156"/>
        <w:ind w:left="2" w:hanging="2"/>
        <w:rPr>
          <w:rFonts w:hAnsi="黑体"/>
          <w:szCs w:val="20"/>
        </w:rPr>
      </w:pPr>
      <w:bookmarkStart w:id="1181" w:name="_Toc450683003"/>
      <w:bookmarkStart w:id="1182" w:name="_Toc468729576"/>
      <w:r>
        <w:rPr>
          <w:rFonts w:hint="eastAsia" w:hAnsi="黑体"/>
          <w:szCs w:val="20"/>
        </w:rPr>
        <w:t>外部火烧</w:t>
      </w:r>
      <w:bookmarkEnd w:id="1181"/>
      <w:bookmarkEnd w:id="1182"/>
    </w:p>
    <w:p>
      <w:pPr>
        <w:pStyle w:val="55"/>
        <w:spacing w:before="156" w:after="156"/>
        <w:jc w:val="both"/>
        <w:rPr>
          <w:rFonts w:asciiTheme="minorEastAsia" w:hAnsiTheme="minorEastAsia" w:eastAsiaTheme="minorEastAsia"/>
        </w:rPr>
      </w:pPr>
      <w:r>
        <w:rPr>
          <w:rFonts w:asciiTheme="minorEastAsia" w:hAnsiTheme="minorEastAsia" w:eastAsiaTheme="minorEastAsia"/>
        </w:rPr>
        <w:t>试验对象为电池包或系统。</w:t>
      </w:r>
      <w:r>
        <w:rPr>
          <w:rFonts w:hint="eastAsia" w:asciiTheme="minorEastAsia" w:hAnsiTheme="minorEastAsia" w:eastAsiaTheme="minorEastAsia"/>
        </w:rPr>
        <w:t>对</w:t>
      </w:r>
      <w:r>
        <w:rPr>
          <w:rFonts w:asciiTheme="minorEastAsia" w:hAnsiTheme="minorEastAsia" w:eastAsiaTheme="minorEastAsia"/>
        </w:rPr>
        <w:t>电池包或系统起到</w:t>
      </w:r>
      <w:r>
        <w:rPr>
          <w:rFonts w:hint="eastAsia" w:asciiTheme="minorEastAsia" w:hAnsiTheme="minorEastAsia" w:eastAsiaTheme="minorEastAsia"/>
        </w:rPr>
        <w:t>保护</w:t>
      </w:r>
      <w:r>
        <w:rPr>
          <w:rFonts w:asciiTheme="minorEastAsia" w:hAnsiTheme="minorEastAsia" w:eastAsiaTheme="minorEastAsia"/>
        </w:rPr>
        <w:t>作用的</w:t>
      </w:r>
      <w:r>
        <w:rPr>
          <w:rFonts w:hint="eastAsia" w:asciiTheme="minorEastAsia" w:hAnsiTheme="minorEastAsia" w:eastAsiaTheme="minorEastAsia"/>
        </w:rPr>
        <w:t>车身结构，</w:t>
      </w:r>
      <w:r>
        <w:rPr>
          <w:rFonts w:asciiTheme="minorEastAsia" w:hAnsiTheme="minorEastAsia" w:eastAsiaTheme="minorEastAsia"/>
        </w:rPr>
        <w:t>可以参与</w:t>
      </w:r>
      <w:r>
        <w:rPr>
          <w:rFonts w:hint="eastAsia" w:asciiTheme="minorEastAsia" w:hAnsiTheme="minorEastAsia" w:eastAsiaTheme="minorEastAsia"/>
        </w:rPr>
        <w:t>火烧</w:t>
      </w:r>
      <w:r>
        <w:rPr>
          <w:rFonts w:asciiTheme="minorEastAsia" w:hAnsiTheme="minorEastAsia" w:eastAsiaTheme="minorEastAsia"/>
        </w:rPr>
        <w:t>试验。</w:t>
      </w:r>
    </w:p>
    <w:p>
      <w:pPr>
        <w:pStyle w:val="55"/>
        <w:spacing w:before="156" w:after="156"/>
      </w:pPr>
      <w:r>
        <w:rPr>
          <w:rFonts w:hint="eastAsia" w:ascii="Times New Roman" w:eastAsiaTheme="minorEastAsia"/>
        </w:rPr>
        <w:t>试验环境温度为0</w:t>
      </w:r>
      <w:r>
        <w:rPr>
          <w:rFonts w:ascii="Times New Roman" w:eastAsiaTheme="minorEastAsia"/>
        </w:rPr>
        <w:t xml:space="preserve"> </w:t>
      </w:r>
      <w:r>
        <w:rPr>
          <w:rFonts w:hint="eastAsia" w:ascii="Times New Roman" w:eastAsiaTheme="minorEastAsia"/>
        </w:rPr>
        <w:t>℃以上，风速不大于2.5</w:t>
      </w:r>
      <w:r>
        <w:rPr>
          <w:rFonts w:ascii="Times New Roman" w:eastAsiaTheme="minorEastAsia"/>
        </w:rPr>
        <w:t xml:space="preserve"> </w:t>
      </w:r>
      <w:r>
        <w:rPr>
          <w:rFonts w:hint="eastAsia" w:ascii="Times New Roman" w:eastAsiaTheme="minorEastAsia"/>
        </w:rPr>
        <w:t>km/h。</w:t>
      </w:r>
    </w:p>
    <w:p>
      <w:pPr>
        <w:pStyle w:val="55"/>
        <w:spacing w:before="156" w:after="156"/>
        <w:rPr>
          <w:rFonts w:ascii="Times New Roman" w:eastAsiaTheme="minorEastAsia"/>
        </w:rPr>
      </w:pPr>
      <w:r>
        <w:rPr>
          <w:rFonts w:ascii="Times New Roman" w:eastAsiaTheme="minorEastAsia"/>
        </w:rPr>
        <w:t>测试中，盛放汽油的平盘尺寸超过试验对象水平</w:t>
      </w:r>
      <w:r>
        <w:rPr>
          <w:rFonts w:hint="eastAsia" w:ascii="Times New Roman" w:eastAsiaTheme="minorEastAsia"/>
        </w:rPr>
        <w:t>投影</w:t>
      </w:r>
      <w:r>
        <w:rPr>
          <w:rFonts w:ascii="Times New Roman" w:eastAsiaTheme="minorEastAsia"/>
        </w:rPr>
        <w:t>尺寸20 cm，不超过50 cm。平盘高度不高于汽油表面8 cm。试验对象应居中放置。汽油液面与试验对象</w:t>
      </w:r>
      <w:r>
        <w:rPr>
          <w:rFonts w:hint="eastAsia" w:ascii="Times New Roman" w:eastAsiaTheme="minorEastAsia"/>
        </w:rPr>
        <w:t>底部</w:t>
      </w:r>
      <w:r>
        <w:rPr>
          <w:rFonts w:ascii="Times New Roman" w:eastAsiaTheme="minorEastAsia"/>
        </w:rPr>
        <w:t>的距离设定为50 cm</w:t>
      </w:r>
      <w:r>
        <w:rPr>
          <w:rFonts w:hint="eastAsia" w:ascii="Times New Roman" w:eastAsiaTheme="minorEastAsia"/>
        </w:rPr>
        <w:t>，</w:t>
      </w:r>
      <w:r>
        <w:rPr>
          <w:rFonts w:ascii="Times New Roman" w:eastAsiaTheme="minorEastAsia"/>
        </w:rPr>
        <w:t>或者为</w:t>
      </w:r>
      <w:r>
        <w:rPr>
          <w:rFonts w:hint="eastAsia" w:ascii="Times New Roman" w:eastAsiaTheme="minorEastAsia"/>
        </w:rPr>
        <w:t>车辆</w:t>
      </w:r>
      <w:r>
        <w:rPr>
          <w:rFonts w:ascii="Times New Roman" w:eastAsiaTheme="minorEastAsia"/>
        </w:rPr>
        <w:t>空载状态下试验对象底面的离地高度。平盘底层注入水。</w:t>
      </w:r>
      <w:r>
        <w:rPr>
          <w:rFonts w:hint="eastAsia" w:ascii="Times New Roman" w:eastAsiaTheme="minorEastAsia"/>
        </w:rPr>
        <w:t>燃烧时间应在</w:t>
      </w:r>
      <w:r>
        <w:rPr>
          <w:rFonts w:hint="eastAsia" w:asciiTheme="minorEastAsia" w:hAnsiTheme="minorEastAsia" w:eastAsiaTheme="minorEastAsia"/>
        </w:rPr>
        <w:t>试验对象与油盘均处于静止状态下计时开始或结束。</w:t>
      </w:r>
      <w:r>
        <w:rPr>
          <w:rFonts w:ascii="Times New Roman" w:eastAsiaTheme="minorEastAsia"/>
        </w:rPr>
        <w:t>外部火烧示意图如图</w:t>
      </w:r>
      <w:r>
        <w:rPr>
          <w:rFonts w:hint="eastAsia" w:ascii="Times New Roman" w:eastAsiaTheme="minorEastAsia"/>
        </w:rPr>
        <w:t>9</w:t>
      </w:r>
      <w:r>
        <w:rPr>
          <w:rFonts w:ascii="Times New Roman" w:eastAsiaTheme="minorEastAsia"/>
        </w:rPr>
        <w:t>所示。</w:t>
      </w:r>
    </w:p>
    <w:p>
      <w:pPr>
        <w:pStyle w:val="55"/>
        <w:spacing w:before="156" w:after="156"/>
        <w:rPr>
          <w:rFonts w:ascii="Times New Roman" w:eastAsiaTheme="minorEastAsia"/>
        </w:rPr>
      </w:pPr>
      <w:r>
        <w:rPr>
          <w:rFonts w:hint="eastAsia" w:ascii="Times New Roman" w:eastAsiaTheme="minorEastAsia"/>
        </w:rPr>
        <w:t>外部火烧试验分为以下4个阶段：</w:t>
      </w:r>
    </w:p>
    <w:p>
      <w:pPr>
        <w:pStyle w:val="51"/>
        <w:numPr>
          <w:ilvl w:val="0"/>
          <w:numId w:val="20"/>
        </w:numPr>
        <w:spacing w:before="0" w:beforeLines="0" w:after="0" w:afterLines="0"/>
        <w:rPr>
          <w:rFonts w:asciiTheme="minorEastAsia" w:hAnsiTheme="minorEastAsia" w:eastAsiaTheme="minorEastAsia"/>
        </w:rPr>
      </w:pPr>
      <w:r>
        <w:rPr>
          <w:rFonts w:hint="eastAsia" w:asciiTheme="minorEastAsia" w:hAnsiTheme="minorEastAsia" w:eastAsiaTheme="minorEastAsia"/>
        </w:rPr>
        <w:t>预热。在离试验对象至少</w:t>
      </w:r>
      <w:r>
        <w:rPr>
          <w:rFonts w:ascii="Times New Roman" w:eastAsiaTheme="minorEastAsia"/>
        </w:rPr>
        <w:t>3 m</w:t>
      </w:r>
      <w:r>
        <w:rPr>
          <w:rFonts w:hint="eastAsia" w:asciiTheme="minorEastAsia" w:hAnsiTheme="minorEastAsia" w:eastAsiaTheme="minorEastAsia"/>
        </w:rPr>
        <w:t>远的地方点燃汽油，经过</w:t>
      </w:r>
      <w:r>
        <w:rPr>
          <w:rFonts w:ascii="Times New Roman" w:eastAsiaTheme="minorEastAsia"/>
        </w:rPr>
        <w:t>60 s</w:t>
      </w:r>
      <w:r>
        <w:rPr>
          <w:rFonts w:hint="eastAsia" w:asciiTheme="minorEastAsia" w:hAnsiTheme="minorEastAsia" w:eastAsiaTheme="minorEastAsia"/>
        </w:rPr>
        <w:t>的预热后，将油盘置于试验对象下方。如果油盘尺寸太大无法移动，可以采用移动试验对象和支架的方式；</w:t>
      </w:r>
    </w:p>
    <w:p>
      <w:pPr>
        <w:pStyle w:val="51"/>
        <w:numPr>
          <w:ilvl w:val="0"/>
          <w:numId w:val="20"/>
        </w:numPr>
        <w:spacing w:before="0" w:beforeLines="0" w:after="0" w:afterLines="0"/>
        <w:rPr>
          <w:rFonts w:asciiTheme="minorEastAsia" w:hAnsiTheme="minorEastAsia" w:eastAsiaTheme="minorEastAsia"/>
        </w:rPr>
      </w:pPr>
      <w:r>
        <w:rPr>
          <w:rFonts w:hint="eastAsia" w:asciiTheme="minorEastAsia" w:hAnsiTheme="minorEastAsia" w:eastAsiaTheme="minorEastAsia"/>
        </w:rPr>
        <w:t>直接燃烧。试验对象直接暴露在火焰下</w:t>
      </w:r>
      <w:r>
        <w:rPr>
          <w:rFonts w:ascii="Times New Roman" w:eastAsiaTheme="minorEastAsia"/>
        </w:rPr>
        <w:t>70 s</w:t>
      </w:r>
      <w:r>
        <w:rPr>
          <w:rFonts w:hint="eastAsia" w:asciiTheme="minorEastAsia" w:hAnsiTheme="minorEastAsia" w:eastAsiaTheme="minorEastAsia"/>
        </w:rPr>
        <w:t>；</w:t>
      </w:r>
      <w:r>
        <w:rPr>
          <w:rFonts w:asciiTheme="minorEastAsia" w:hAnsiTheme="minorEastAsia" w:eastAsiaTheme="minorEastAsia"/>
        </w:rPr>
        <w:t xml:space="preserve"> </w:t>
      </w:r>
    </w:p>
    <w:p>
      <w:pPr>
        <w:pStyle w:val="51"/>
        <w:numPr>
          <w:ilvl w:val="0"/>
          <w:numId w:val="20"/>
        </w:numPr>
        <w:spacing w:before="0" w:beforeLines="0" w:after="0" w:afterLines="0"/>
        <w:rPr>
          <w:rFonts w:asciiTheme="minorEastAsia" w:hAnsiTheme="minorEastAsia" w:eastAsiaTheme="minorEastAsia"/>
        </w:rPr>
      </w:pPr>
      <w:r>
        <w:rPr>
          <w:rFonts w:hint="eastAsia" w:asciiTheme="minorEastAsia" w:hAnsiTheme="minorEastAsia" w:eastAsiaTheme="minorEastAsia"/>
        </w:rPr>
        <w:t>间接燃烧。将耐火隔板盖在油盘上。试验对象在该状态下测试</w:t>
      </w:r>
      <w:r>
        <w:rPr>
          <w:rFonts w:ascii="Times New Roman" w:eastAsiaTheme="minorEastAsia"/>
        </w:rPr>
        <w:t>60 s</w:t>
      </w:r>
      <w:r>
        <w:rPr>
          <w:rFonts w:hint="eastAsia" w:asciiTheme="minorEastAsia" w:hAnsiTheme="minorEastAsia" w:eastAsiaTheme="minorEastAsia"/>
        </w:rPr>
        <w:t>。或经双方协商同意，继续直接暴露在火焰中</w:t>
      </w:r>
      <w:r>
        <w:rPr>
          <w:rFonts w:ascii="Times New Roman" w:eastAsiaTheme="minorEastAsia"/>
        </w:rPr>
        <w:t>60 s</w:t>
      </w:r>
      <w:r>
        <w:rPr>
          <w:rFonts w:hint="eastAsia" w:asciiTheme="minorEastAsia" w:hAnsiTheme="minorEastAsia" w:eastAsiaTheme="minorEastAsia"/>
        </w:rPr>
        <w:t>。耐火隔板由标准耐火砖拼成，具体筛孔尺寸如下图</w:t>
      </w:r>
      <w:r>
        <w:rPr>
          <w:rFonts w:hint="eastAsia" w:ascii="Times New Roman" w:eastAsiaTheme="minorEastAsia"/>
        </w:rPr>
        <w:t>10所示</w:t>
      </w:r>
      <w:r>
        <w:rPr>
          <w:rFonts w:hint="eastAsia" w:asciiTheme="minorEastAsia" w:hAnsiTheme="minorEastAsia" w:eastAsiaTheme="minorEastAsia"/>
        </w:rPr>
        <w:t>，也可以用耐火材料参考此尺寸制作；</w:t>
      </w:r>
    </w:p>
    <w:p>
      <w:pPr>
        <w:pStyle w:val="51"/>
        <w:numPr>
          <w:ilvl w:val="0"/>
          <w:numId w:val="20"/>
        </w:numPr>
        <w:spacing w:before="0" w:beforeLines="0" w:after="0" w:afterLines="0"/>
        <w:rPr>
          <w:rFonts w:asciiTheme="minorEastAsia" w:hAnsiTheme="minorEastAsia" w:eastAsiaTheme="minorEastAsia"/>
        </w:rPr>
      </w:pPr>
      <w:r>
        <w:rPr>
          <w:rFonts w:hint="eastAsia" w:asciiTheme="minorEastAsia" w:hAnsiTheme="minorEastAsia" w:eastAsiaTheme="minorEastAsia"/>
        </w:rPr>
        <w:t>离开火源。将油盘或者试验对象移开，在试验环境温度下观察</w:t>
      </w:r>
      <w:r>
        <w:rPr>
          <w:rFonts w:ascii="Times New Roman" w:eastAsiaTheme="minorEastAsia"/>
        </w:rPr>
        <w:t>2 h</w:t>
      </w:r>
      <w:r>
        <w:rPr>
          <w:rFonts w:hint="eastAsia" w:asciiTheme="minorEastAsia" w:hAnsiTheme="minorEastAsia" w:eastAsiaTheme="minorEastAsia"/>
        </w:rPr>
        <w:t>或试验对象外表温度降至</w:t>
      </w:r>
      <w:r>
        <w:rPr>
          <w:rFonts w:ascii="Times New Roman" w:eastAsiaTheme="minorEastAsia"/>
        </w:rPr>
        <w:t xml:space="preserve">45 </w:t>
      </w:r>
      <w:r>
        <w:rPr>
          <w:rFonts w:hint="eastAsia" w:ascii="宋体" w:hAnsi="宋体" w:eastAsia="宋体" w:cs="宋体"/>
        </w:rPr>
        <w:t>℃</w:t>
      </w:r>
      <w:r>
        <w:rPr>
          <w:rFonts w:hint="eastAsia" w:asciiTheme="minorEastAsia" w:hAnsiTheme="minorEastAsia" w:eastAsiaTheme="minorEastAsia"/>
        </w:rPr>
        <w:t>以下。</w:t>
      </w:r>
    </w:p>
    <w:p>
      <w:pPr>
        <w:pStyle w:val="23"/>
        <w:spacing w:before="156" w:beforeLines="50"/>
        <w:ind w:firstLine="0" w:firstLineChars="0"/>
        <w:jc w:val="center"/>
      </w:pPr>
      <w:r>
        <w:drawing>
          <wp:inline distT="0" distB="0" distL="0" distR="0">
            <wp:extent cx="5195570" cy="1511935"/>
            <wp:effectExtent l="0" t="0" r="508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18"/>
                    <a:stretch>
                      <a:fillRect/>
                    </a:stretch>
                  </pic:blipFill>
                  <pic:spPr>
                    <a:xfrm>
                      <a:off x="0" y="0"/>
                      <a:ext cx="5195903" cy="1512000"/>
                    </a:xfrm>
                    <a:prstGeom prst="rect">
                      <a:avLst/>
                    </a:prstGeom>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图9</w:t>
      </w:r>
      <w:r>
        <w:rPr>
          <w:rFonts w:ascii="黑体" w:hAnsi="黑体" w:eastAsia="黑体"/>
        </w:rPr>
        <w:t xml:space="preserve"> </w:t>
      </w:r>
      <w:r>
        <w:rPr>
          <w:rFonts w:hint="eastAsia" w:ascii="黑体" w:hAnsi="黑体" w:eastAsia="黑体"/>
        </w:rPr>
        <w:t>外部火烧示意图</w:t>
      </w:r>
    </w:p>
    <w:p>
      <w:pPr>
        <w:pStyle w:val="23"/>
        <w:spacing w:before="156" w:beforeLines="50"/>
        <w:ind w:firstLine="0" w:firstLineChars="0"/>
        <w:jc w:val="center"/>
        <w:rPr>
          <w:rFonts w:ascii="Times New Roman"/>
        </w:rPr>
      </w:pPr>
      <w:r>
        <w:drawing>
          <wp:inline distT="0" distB="0" distL="0" distR="0">
            <wp:extent cx="5455920" cy="2736850"/>
            <wp:effectExtent l="0" t="0" r="0" b="635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19"/>
                    <a:stretch>
                      <a:fillRect/>
                    </a:stretch>
                  </pic:blipFill>
                  <pic:spPr>
                    <a:xfrm>
                      <a:off x="0" y="0"/>
                      <a:ext cx="5456510" cy="2737589"/>
                    </a:xfrm>
                    <a:prstGeom prst="rect">
                      <a:avLst/>
                    </a:prstGeom>
                  </pic:spPr>
                </pic:pic>
              </a:graphicData>
            </a:graphic>
          </wp:inline>
        </w:drawing>
      </w:r>
    </w:p>
    <w:p>
      <w:pPr>
        <w:pStyle w:val="23"/>
        <w:ind w:firstLine="360"/>
        <w:rPr>
          <w:rFonts w:ascii="Times New Roman"/>
          <w:sz w:val="18"/>
          <w:szCs w:val="18"/>
        </w:rPr>
      </w:pPr>
      <w:r>
        <w:rPr>
          <w:rFonts w:hint="eastAsia" w:ascii="Times New Roman"/>
          <w:sz w:val="18"/>
          <w:szCs w:val="18"/>
        </w:rPr>
        <w:t>说明：</w:t>
      </w:r>
    </w:p>
    <w:p>
      <w:pPr>
        <w:pStyle w:val="23"/>
        <w:ind w:firstLine="360"/>
        <w:rPr>
          <w:rFonts w:ascii="Times New Roman"/>
          <w:sz w:val="18"/>
          <w:szCs w:val="18"/>
        </w:rPr>
      </w:pPr>
      <w:r>
        <w:rPr>
          <w:rFonts w:hint="eastAsia" w:ascii="Times New Roman"/>
          <w:sz w:val="18"/>
          <w:szCs w:val="18"/>
        </w:rPr>
        <w:t>耐火性：</w:t>
      </w:r>
      <w:r>
        <w:rPr>
          <w:rFonts w:ascii="Times New Roman"/>
          <w:sz w:val="18"/>
          <w:szCs w:val="18"/>
        </w:rPr>
        <w:t>SK 30</w:t>
      </w:r>
      <w:r>
        <w:rPr>
          <w:rFonts w:hint="eastAsia" w:ascii="Times New Roman"/>
          <w:sz w:val="18"/>
          <w:szCs w:val="18"/>
        </w:rPr>
        <w:t>；成分：</w:t>
      </w:r>
      <w:r>
        <w:rPr>
          <w:rFonts w:ascii="Times New Roman"/>
          <w:sz w:val="18"/>
          <w:szCs w:val="18"/>
        </w:rPr>
        <w:t>30%~33% Al</w:t>
      </w:r>
      <w:r>
        <w:rPr>
          <w:rFonts w:ascii="Times New Roman"/>
          <w:sz w:val="18"/>
          <w:szCs w:val="18"/>
          <w:vertAlign w:val="subscript"/>
        </w:rPr>
        <w:t>2</w:t>
      </w:r>
      <w:r>
        <w:rPr>
          <w:rFonts w:ascii="Times New Roman"/>
          <w:sz w:val="18"/>
          <w:szCs w:val="18"/>
        </w:rPr>
        <w:t>O</w:t>
      </w:r>
      <w:r>
        <w:rPr>
          <w:rFonts w:ascii="Times New Roman"/>
          <w:sz w:val="18"/>
          <w:szCs w:val="18"/>
          <w:vertAlign w:val="subscript"/>
        </w:rPr>
        <w:t>3</w:t>
      </w:r>
      <w:r>
        <w:rPr>
          <w:rFonts w:hint="eastAsia" w:ascii="Times New Roman"/>
          <w:sz w:val="18"/>
          <w:szCs w:val="18"/>
        </w:rPr>
        <w:t>；密度：</w:t>
      </w:r>
      <w:r>
        <w:rPr>
          <w:rFonts w:ascii="Times New Roman"/>
          <w:sz w:val="18"/>
          <w:szCs w:val="18"/>
        </w:rPr>
        <w:t>1900 kg/m</w:t>
      </w:r>
      <w:r>
        <w:rPr>
          <w:rFonts w:ascii="Times New Roman"/>
          <w:sz w:val="18"/>
          <w:szCs w:val="18"/>
          <w:vertAlign w:val="superscript"/>
        </w:rPr>
        <w:t>3</w:t>
      </w:r>
      <w:r>
        <w:rPr>
          <w:rFonts w:ascii="Times New Roman"/>
          <w:sz w:val="18"/>
          <w:szCs w:val="18"/>
        </w:rPr>
        <w:t>~2000 kg/m</w:t>
      </w:r>
      <w:r>
        <w:rPr>
          <w:rFonts w:ascii="Times New Roman"/>
          <w:sz w:val="18"/>
          <w:szCs w:val="18"/>
          <w:vertAlign w:val="superscript"/>
        </w:rPr>
        <w:t>3</w:t>
      </w:r>
      <w:r>
        <w:rPr>
          <w:rFonts w:hint="eastAsia" w:ascii="Times New Roman"/>
          <w:sz w:val="18"/>
          <w:szCs w:val="18"/>
        </w:rPr>
        <w:t>；有效孔面积：</w:t>
      </w:r>
      <w:r>
        <w:rPr>
          <w:rFonts w:ascii="Times New Roman"/>
          <w:sz w:val="18"/>
          <w:szCs w:val="18"/>
        </w:rPr>
        <w:t>44.18%</w:t>
      </w:r>
      <w:r>
        <w:rPr>
          <w:rFonts w:hint="eastAsia" w:ascii="Times New Roman"/>
          <w:sz w:val="18"/>
          <w:szCs w:val="18"/>
        </w:rPr>
        <w:t>；开孔率：</w:t>
      </w:r>
      <w:r>
        <w:rPr>
          <w:rFonts w:ascii="Times New Roman"/>
          <w:sz w:val="18"/>
          <w:szCs w:val="18"/>
        </w:rPr>
        <w:t>20%~22%</w:t>
      </w:r>
      <w:r>
        <w:rPr>
          <w:rFonts w:hint="eastAsia" w:ascii="Times New Roman"/>
          <w:sz w:val="18"/>
          <w:szCs w:val="18"/>
        </w:rPr>
        <w:t>体积比。</w:t>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图10</w:t>
      </w:r>
      <w:r>
        <w:rPr>
          <w:rFonts w:ascii="黑体" w:hAnsi="黑体" w:eastAsia="黑体"/>
        </w:rPr>
        <w:t xml:space="preserve"> </w:t>
      </w:r>
      <w:r>
        <w:rPr>
          <w:rFonts w:hint="eastAsia" w:ascii="黑体" w:hAnsi="黑体" w:eastAsia="黑体"/>
        </w:rPr>
        <w:t>耐火隔板的尺寸和技术数据</w:t>
      </w:r>
    </w:p>
    <w:p>
      <w:pPr>
        <w:pStyle w:val="51"/>
        <w:spacing w:before="156" w:after="156"/>
        <w:ind w:left="2" w:hanging="2"/>
        <w:rPr>
          <w:rFonts w:hAnsi="黑体"/>
          <w:szCs w:val="20"/>
        </w:rPr>
      </w:pPr>
      <w:r>
        <w:rPr>
          <w:rFonts w:hint="eastAsia" w:hAnsi="黑体"/>
          <w:szCs w:val="20"/>
        </w:rPr>
        <w:t>热扩散</w:t>
      </w:r>
    </w:p>
    <w:p>
      <w:pPr>
        <w:pStyle w:val="23"/>
        <w:rPr>
          <w:rFonts w:ascii="Times New Roman"/>
        </w:rPr>
      </w:pPr>
      <w:r>
        <w:rPr>
          <w:rFonts w:ascii="Times New Roman"/>
        </w:rPr>
        <w:t>电池包或系统</w:t>
      </w:r>
      <w:r>
        <w:rPr>
          <w:rFonts w:hint="eastAsia" w:ascii="Times New Roman"/>
        </w:rPr>
        <w:t>或整车按照附录C进行</w:t>
      </w:r>
      <w:r>
        <w:rPr>
          <w:rFonts w:ascii="Times New Roman"/>
        </w:rPr>
        <w:t>热扩散</w:t>
      </w:r>
      <w:r>
        <w:rPr>
          <w:rFonts w:hint="eastAsia" w:ascii="Times New Roman"/>
        </w:rPr>
        <w:t>分析</w:t>
      </w:r>
      <w:r>
        <w:rPr>
          <w:rFonts w:ascii="Times New Roman"/>
        </w:rPr>
        <w:t>和验证。</w:t>
      </w:r>
    </w:p>
    <w:p>
      <w:pPr>
        <w:pStyle w:val="46"/>
        <w:spacing w:before="156" w:after="156"/>
        <w:ind w:left="2"/>
        <w:outlineLvl w:val="2"/>
        <w:rPr>
          <w:rFonts w:hAnsi="黑体"/>
        </w:rPr>
      </w:pPr>
      <w:bookmarkStart w:id="1183" w:name="_Toc513232548"/>
      <w:bookmarkEnd w:id="1183"/>
      <w:bookmarkStart w:id="1184" w:name="_Toc513232547"/>
      <w:bookmarkEnd w:id="1184"/>
      <w:bookmarkStart w:id="1185" w:name="_Toc513232546"/>
      <w:bookmarkEnd w:id="1185"/>
      <w:bookmarkStart w:id="1186" w:name="_Toc513232549"/>
      <w:bookmarkStart w:id="1187" w:name="_Toc450683006"/>
      <w:bookmarkStart w:id="1188" w:name="_Toc468729583"/>
      <w:bookmarkStart w:id="1189" w:name="_Toc504059449"/>
      <w:bookmarkStart w:id="1190" w:name="_Toc513234365"/>
      <w:r>
        <w:rPr>
          <w:rFonts w:hint="eastAsia" w:hAnsi="黑体"/>
        </w:rPr>
        <w:t>温度冲击</w:t>
      </w:r>
      <w:bookmarkEnd w:id="1186"/>
      <w:bookmarkEnd w:id="1187"/>
      <w:bookmarkEnd w:id="1188"/>
      <w:bookmarkEnd w:id="1189"/>
      <w:bookmarkEnd w:id="1190"/>
    </w:p>
    <w:p>
      <w:pPr>
        <w:pStyle w:val="51"/>
        <w:spacing w:before="156" w:after="156"/>
        <w:ind w:left="2" w:hanging="2"/>
        <w:rPr>
          <w:rFonts w:asciiTheme="minorEastAsia" w:hAnsiTheme="minorEastAsia" w:eastAsiaTheme="minorEastAsia"/>
        </w:rPr>
      </w:pPr>
      <w:bookmarkStart w:id="1191" w:name="_Toc468729584"/>
      <w:r>
        <w:rPr>
          <w:rFonts w:hint="eastAsia" w:ascii="Times New Roman" w:eastAsia="宋体"/>
          <w:szCs w:val="20"/>
        </w:rPr>
        <w:t>试验对象为电池包或系统。</w:t>
      </w:r>
      <w:bookmarkEnd w:id="1191"/>
    </w:p>
    <w:p>
      <w:pPr>
        <w:pStyle w:val="51"/>
        <w:spacing w:before="156" w:after="156"/>
        <w:ind w:left="2" w:hanging="2"/>
        <w:rPr>
          <w:rFonts w:ascii="Times New Roman" w:eastAsia="宋体"/>
          <w:szCs w:val="20"/>
        </w:rPr>
      </w:pPr>
      <w:r>
        <w:rPr>
          <w:rFonts w:hint="eastAsia" w:asciiTheme="minorEastAsia" w:hAnsiTheme="minorEastAsia" w:eastAsiaTheme="minorEastAsia"/>
        </w:rPr>
        <w:t>为保护试验操作人员和实验室安全，制造商应提供电压异常限值作为异常终止条件。</w:t>
      </w:r>
    </w:p>
    <w:p>
      <w:pPr>
        <w:pStyle w:val="51"/>
        <w:spacing w:before="156" w:after="156"/>
        <w:ind w:left="2" w:hanging="2"/>
        <w:rPr>
          <w:rFonts w:ascii="Times New Roman" w:eastAsia="宋体"/>
          <w:szCs w:val="20"/>
        </w:rPr>
      </w:pPr>
      <w:bookmarkStart w:id="1192" w:name="_Toc468729585"/>
      <w:r>
        <w:rPr>
          <w:rFonts w:hint="eastAsia" w:ascii="Times New Roman" w:eastAsia="宋体"/>
          <w:szCs w:val="20"/>
        </w:rPr>
        <w:t>试验对象置于（-40</w:t>
      </w:r>
      <w:r>
        <w:rPr>
          <w:rFonts w:ascii="Times New Roman" w:eastAsia="宋体"/>
          <w:szCs w:val="20"/>
        </w:rPr>
        <w:t xml:space="preserve"> </w:t>
      </w:r>
      <w:r>
        <w:rPr>
          <w:rFonts w:hint="eastAsia" w:ascii="Times New Roman" w:eastAsia="宋体"/>
          <w:szCs w:val="20"/>
        </w:rPr>
        <w:t>℃±2</w:t>
      </w:r>
      <w:r>
        <w:rPr>
          <w:rFonts w:ascii="Times New Roman" w:eastAsia="宋体"/>
          <w:szCs w:val="20"/>
        </w:rPr>
        <w:t xml:space="preserve"> </w:t>
      </w:r>
      <w:r>
        <w:rPr>
          <w:rFonts w:hint="eastAsia" w:ascii="Times New Roman" w:eastAsia="宋体"/>
          <w:szCs w:val="20"/>
        </w:rPr>
        <w:t>℃）～（</w:t>
      </w:r>
      <w:r>
        <w:rPr>
          <w:rFonts w:ascii="Times New Roman" w:eastAsia="宋体"/>
          <w:szCs w:val="20"/>
        </w:rPr>
        <w:t xml:space="preserve">60 </w:t>
      </w:r>
      <w:r>
        <w:rPr>
          <w:rFonts w:hint="eastAsia" w:ascii="Times New Roman" w:eastAsia="宋体"/>
          <w:szCs w:val="20"/>
        </w:rPr>
        <w:t>℃±2</w:t>
      </w:r>
      <w:r>
        <w:rPr>
          <w:rFonts w:ascii="Times New Roman" w:eastAsia="宋体"/>
          <w:szCs w:val="20"/>
        </w:rPr>
        <w:t xml:space="preserve"> </w:t>
      </w:r>
      <w:r>
        <w:rPr>
          <w:rFonts w:hint="eastAsia" w:ascii="Times New Roman" w:eastAsia="宋体"/>
          <w:szCs w:val="20"/>
        </w:rPr>
        <w:t>℃）</w:t>
      </w:r>
      <w:r>
        <w:rPr>
          <w:rFonts w:ascii="Times New Roman" w:eastAsia="宋体"/>
          <w:szCs w:val="20"/>
        </w:rPr>
        <w:t>（如果制造商</w:t>
      </w:r>
      <w:r>
        <w:rPr>
          <w:rFonts w:hint="eastAsia" w:ascii="Times New Roman" w:eastAsia="宋体"/>
          <w:szCs w:val="20"/>
        </w:rPr>
        <w:t>要求，可采用更严苛的试验温度</w:t>
      </w:r>
      <w:r>
        <w:rPr>
          <w:rFonts w:ascii="Times New Roman" w:eastAsia="宋体"/>
          <w:szCs w:val="20"/>
        </w:rPr>
        <w:t>）</w:t>
      </w:r>
      <w:r>
        <w:rPr>
          <w:rFonts w:hint="eastAsia" w:ascii="Times New Roman" w:eastAsia="宋体"/>
          <w:szCs w:val="20"/>
        </w:rPr>
        <w:t>的交变温度环境中，按图11所示循环进行，两种极端温度的转换时间在30</w:t>
      </w:r>
      <w:r>
        <w:rPr>
          <w:rFonts w:ascii="Times New Roman" w:eastAsia="宋体"/>
          <w:szCs w:val="20"/>
        </w:rPr>
        <w:t xml:space="preserve"> </w:t>
      </w:r>
      <w:r>
        <w:rPr>
          <w:rFonts w:hint="eastAsia" w:ascii="Times New Roman" w:eastAsia="宋体"/>
          <w:szCs w:val="20"/>
        </w:rPr>
        <w:t>min以内。试验对象在每个极端温度环境中保持8</w:t>
      </w:r>
      <w:r>
        <w:rPr>
          <w:rFonts w:ascii="Times New Roman" w:eastAsia="宋体"/>
          <w:szCs w:val="20"/>
        </w:rPr>
        <w:t xml:space="preserve"> </w:t>
      </w:r>
      <w:r>
        <w:rPr>
          <w:rFonts w:hint="eastAsia" w:ascii="Times New Roman" w:eastAsia="宋体"/>
          <w:szCs w:val="20"/>
        </w:rPr>
        <w:t>h，循环5次。</w:t>
      </w:r>
    </w:p>
    <w:p>
      <w:pPr>
        <w:pStyle w:val="23"/>
        <w:jc w:val="center"/>
      </w:pPr>
      <w:r>
        <w:rPr>
          <w:rFonts w:hint="eastAsia"/>
        </w:rPr>
        <w:drawing>
          <wp:inline distT="0" distB="0" distL="114300" distR="114300">
            <wp:extent cx="3323590" cy="1993900"/>
            <wp:effectExtent l="0" t="0" r="0" b="6350"/>
            <wp:docPr id="224" name="图片 224" descr="图片12--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图片12--0423"/>
                    <pic:cNvPicPr>
                      <a:picLocks noChangeAspect="1"/>
                    </pic:cNvPicPr>
                  </pic:nvPicPr>
                  <pic:blipFill>
                    <a:blip r:embed="rId20"/>
                    <a:stretch>
                      <a:fillRect/>
                    </a:stretch>
                  </pic:blipFill>
                  <pic:spPr>
                    <a:xfrm>
                      <a:off x="0" y="0"/>
                      <a:ext cx="3329462" cy="1997356"/>
                    </a:xfrm>
                    <a:prstGeom prst="rect">
                      <a:avLst/>
                    </a:prstGeom>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图11</w:t>
      </w:r>
      <w:r>
        <w:rPr>
          <w:rFonts w:ascii="黑体" w:hAnsi="黑体" w:eastAsia="黑体"/>
        </w:rPr>
        <w:t xml:space="preserve"> </w:t>
      </w:r>
      <w:r>
        <w:rPr>
          <w:rFonts w:hint="eastAsia" w:ascii="黑体" w:hAnsi="黑体" w:eastAsia="黑体"/>
        </w:rPr>
        <w:t>温度冲击试验示意图</w:t>
      </w:r>
    </w:p>
    <w:p>
      <w:pPr>
        <w:pStyle w:val="23"/>
      </w:pPr>
    </w:p>
    <w:p>
      <w:pPr>
        <w:pStyle w:val="51"/>
        <w:spacing w:before="156" w:after="156"/>
        <w:ind w:left="2" w:hanging="2"/>
        <w:rPr>
          <w:rFonts w:ascii="Times New Roman" w:eastAsia="宋体"/>
          <w:szCs w:val="20"/>
        </w:rPr>
      </w:pPr>
      <w:r>
        <w:rPr>
          <w:rFonts w:hint="eastAsia" w:ascii="Times New Roman" w:eastAsia="宋体"/>
          <w:szCs w:val="20"/>
        </w:rPr>
        <w:t>完成以上</w:t>
      </w:r>
      <w:r>
        <w:rPr>
          <w:rFonts w:ascii="Times New Roman" w:eastAsia="宋体"/>
          <w:szCs w:val="20"/>
        </w:rPr>
        <w:t>试验步骤后</w:t>
      </w:r>
      <w:r>
        <w:rPr>
          <w:rFonts w:hint="eastAsia" w:ascii="Times New Roman" w:eastAsia="宋体"/>
          <w:szCs w:val="20"/>
        </w:rPr>
        <w:t>，在试验环境</w:t>
      </w:r>
      <w:r>
        <w:rPr>
          <w:rFonts w:ascii="Times New Roman" w:eastAsia="宋体"/>
          <w:szCs w:val="20"/>
        </w:rPr>
        <w:t>温度</w:t>
      </w:r>
      <w:r>
        <w:rPr>
          <w:rFonts w:hint="eastAsia" w:ascii="Times New Roman" w:eastAsia="宋体"/>
          <w:szCs w:val="20"/>
        </w:rPr>
        <w:t>下观察2</w:t>
      </w:r>
      <w:r>
        <w:rPr>
          <w:rFonts w:ascii="Times New Roman" w:eastAsia="宋体"/>
          <w:szCs w:val="20"/>
        </w:rPr>
        <w:t xml:space="preserve"> </w:t>
      </w:r>
      <w:r>
        <w:rPr>
          <w:rFonts w:hint="eastAsia" w:ascii="Times New Roman" w:eastAsia="宋体"/>
          <w:szCs w:val="20"/>
        </w:rPr>
        <w:t>h。</w:t>
      </w:r>
      <w:bookmarkEnd w:id="1192"/>
    </w:p>
    <w:p>
      <w:pPr>
        <w:pStyle w:val="46"/>
        <w:spacing w:before="156" w:after="156"/>
        <w:ind w:left="2"/>
        <w:outlineLvl w:val="2"/>
        <w:rPr>
          <w:rFonts w:hAnsi="黑体"/>
        </w:rPr>
      </w:pPr>
      <w:bookmarkStart w:id="1193" w:name="_Toc513232550"/>
      <w:bookmarkStart w:id="1194" w:name="_Toc504059451"/>
      <w:bookmarkStart w:id="1195" w:name="_Toc513234366"/>
      <w:r>
        <w:rPr>
          <w:rFonts w:hint="eastAsia" w:hAnsi="黑体"/>
        </w:rPr>
        <w:t>盐雾</w:t>
      </w:r>
      <w:bookmarkEnd w:id="1193"/>
      <w:bookmarkEnd w:id="1194"/>
      <w:bookmarkEnd w:id="1195"/>
    </w:p>
    <w:p>
      <w:pPr>
        <w:pStyle w:val="51"/>
        <w:spacing w:before="156" w:after="156"/>
        <w:ind w:left="2" w:hanging="2"/>
        <w:jc w:val="both"/>
        <w:rPr>
          <w:rFonts w:ascii="Times New Roman" w:eastAsia="宋体"/>
          <w:szCs w:val="20"/>
        </w:rPr>
      </w:pPr>
      <w:r>
        <w:rPr>
          <w:rFonts w:hint="eastAsia" w:ascii="Times New Roman" w:eastAsia="宋体"/>
          <w:szCs w:val="20"/>
        </w:rPr>
        <w:t>试验对象为电池包或系统。</w:t>
      </w:r>
    </w:p>
    <w:p>
      <w:pPr>
        <w:pStyle w:val="51"/>
        <w:spacing w:before="156" w:after="156"/>
        <w:ind w:left="2" w:hanging="2"/>
        <w:jc w:val="both"/>
        <w:rPr>
          <w:rFonts w:ascii="Times New Roman" w:eastAsia="宋体"/>
          <w:szCs w:val="20"/>
        </w:rPr>
      </w:pPr>
      <w:r>
        <w:rPr>
          <w:rFonts w:hint="eastAsia" w:asciiTheme="minorEastAsia" w:hAnsiTheme="minorEastAsia" w:eastAsiaTheme="minorEastAsia"/>
        </w:rPr>
        <w:t>为保护试验操作人员和实验室安全，制造商应提供电压异常限值作为异常终止条件。</w:t>
      </w:r>
    </w:p>
    <w:p>
      <w:pPr>
        <w:pStyle w:val="51"/>
        <w:spacing w:before="156" w:after="156"/>
        <w:ind w:left="2" w:hanging="2"/>
        <w:jc w:val="both"/>
        <w:rPr>
          <w:rFonts w:ascii="Times New Roman" w:eastAsiaTheme="minorEastAsia"/>
          <w:szCs w:val="20"/>
        </w:rPr>
      </w:pPr>
      <w:r>
        <w:rPr>
          <w:rFonts w:hint="eastAsia" w:ascii="Times New Roman" w:eastAsiaTheme="minorEastAsia"/>
          <w:szCs w:val="20"/>
        </w:rPr>
        <w:t>按</w:t>
      </w:r>
      <w:r>
        <w:rPr>
          <w:rFonts w:ascii="Times New Roman" w:eastAsiaTheme="minorEastAsia"/>
          <w:szCs w:val="20"/>
        </w:rPr>
        <w:t>照</w:t>
      </w:r>
      <w:r>
        <w:rPr>
          <w:rFonts w:ascii="Times New Roman" w:eastAsiaTheme="minorEastAsia"/>
        </w:rPr>
        <w:t>GB/T</w:t>
      </w:r>
      <w:r>
        <w:rPr>
          <w:rFonts w:hint="eastAsia" w:ascii="Times New Roman" w:eastAsiaTheme="minorEastAsia"/>
        </w:rPr>
        <w:t xml:space="preserve"> </w:t>
      </w:r>
      <w:r>
        <w:rPr>
          <w:rFonts w:ascii="Times New Roman" w:eastAsiaTheme="minorEastAsia"/>
        </w:rPr>
        <w:t>28046.4</w:t>
      </w:r>
      <w:r>
        <w:rPr>
          <w:rFonts w:hint="eastAsia" w:ascii="Times New Roman" w:eastAsiaTheme="minorEastAsia"/>
        </w:rPr>
        <w:t>—</w:t>
      </w:r>
      <w:r>
        <w:rPr>
          <w:rFonts w:ascii="Times New Roman" w:eastAsiaTheme="minorEastAsia"/>
        </w:rPr>
        <w:t>2011中5.5.2的测试</w:t>
      </w:r>
      <w:r>
        <w:rPr>
          <w:rFonts w:hint="eastAsia" w:ascii="Times New Roman" w:eastAsiaTheme="minorEastAsia"/>
        </w:rPr>
        <w:t>方法和</w:t>
      </w:r>
      <w:r>
        <w:rPr>
          <w:rFonts w:ascii="Times New Roman" w:eastAsiaTheme="minorEastAsia"/>
        </w:rPr>
        <w:t>GB/T</w:t>
      </w:r>
      <w:r>
        <w:rPr>
          <w:rFonts w:hint="eastAsia" w:ascii="Times New Roman" w:eastAsiaTheme="minorEastAsia"/>
        </w:rPr>
        <w:t xml:space="preserve"> </w:t>
      </w:r>
      <w:r>
        <w:rPr>
          <w:rFonts w:ascii="Times New Roman" w:eastAsiaTheme="minorEastAsia"/>
        </w:rPr>
        <w:t>2423.17</w:t>
      </w:r>
      <w:r>
        <w:rPr>
          <w:rFonts w:hint="eastAsia" w:ascii="Times New Roman" w:eastAsiaTheme="minorEastAsia"/>
        </w:rPr>
        <w:t>的</w:t>
      </w:r>
      <w:r>
        <w:rPr>
          <w:rFonts w:ascii="Times New Roman" w:eastAsiaTheme="minorEastAsia"/>
        </w:rPr>
        <w:t>测试条件进行试验。</w:t>
      </w:r>
    </w:p>
    <w:p>
      <w:pPr>
        <w:pStyle w:val="51"/>
        <w:spacing w:before="156" w:after="156"/>
        <w:ind w:left="2" w:hanging="2"/>
        <w:jc w:val="both"/>
        <w:rPr>
          <w:rFonts w:ascii="Times New Roman" w:eastAsia="宋体"/>
          <w:szCs w:val="20"/>
        </w:rPr>
      </w:pPr>
      <w:r>
        <w:rPr>
          <w:rFonts w:hint="eastAsia" w:ascii="Times New Roman" w:eastAsia="宋体"/>
          <w:szCs w:val="20"/>
        </w:rPr>
        <w:t>盐溶液采用氯化钠（化学纯、分析纯）和蒸馏水或去离子水配制，其浓度为</w:t>
      </w:r>
      <w:r>
        <w:rPr>
          <w:rFonts w:ascii="Times New Roman" w:eastAsia="宋体"/>
          <w:szCs w:val="20"/>
        </w:rPr>
        <w:t>5%</w:t>
      </w:r>
      <w:r>
        <w:rPr>
          <w:rFonts w:hint="eastAsia" w:ascii="Times New Roman" w:eastAsia="宋体"/>
          <w:szCs w:val="20"/>
        </w:rPr>
        <w:t>±</w:t>
      </w:r>
      <w:r>
        <w:rPr>
          <w:rFonts w:ascii="Times New Roman" w:eastAsia="宋体"/>
          <w:szCs w:val="20"/>
        </w:rPr>
        <w:t>1%</w:t>
      </w:r>
      <w:r>
        <w:rPr>
          <w:rFonts w:hint="eastAsia" w:ascii="Times New Roman" w:eastAsia="宋体"/>
          <w:szCs w:val="20"/>
        </w:rPr>
        <w:t>（质量分数）。</w:t>
      </w:r>
      <w:r>
        <w:rPr>
          <w:rFonts w:ascii="Times New Roman" w:eastAsia="宋体"/>
          <w:szCs w:val="20"/>
        </w:rPr>
        <w:t xml:space="preserve">35 </w:t>
      </w:r>
      <w:r>
        <w:rPr>
          <w:rFonts w:hint="eastAsia" w:ascii="Times New Roman" w:eastAsia="宋体"/>
          <w:szCs w:val="20"/>
        </w:rPr>
        <w:t>℃±</w:t>
      </w:r>
      <w:r>
        <w:rPr>
          <w:rFonts w:ascii="Times New Roman" w:eastAsia="宋体"/>
          <w:szCs w:val="20"/>
        </w:rPr>
        <w:t>2</w:t>
      </w:r>
      <w:r>
        <w:rPr>
          <w:rFonts w:hint="eastAsia" w:ascii="Times New Roman" w:eastAsia="宋体"/>
          <w:szCs w:val="20"/>
        </w:rPr>
        <w:t xml:space="preserve"> ℃下测量</w:t>
      </w:r>
      <w:r>
        <w:rPr>
          <w:rFonts w:ascii="Times New Roman" w:eastAsia="宋体"/>
          <w:szCs w:val="20"/>
        </w:rPr>
        <w:t>pH</w:t>
      </w:r>
      <w:r>
        <w:rPr>
          <w:rFonts w:hint="eastAsia" w:ascii="Times New Roman" w:eastAsia="宋体"/>
          <w:szCs w:val="20"/>
        </w:rPr>
        <w:t>值在</w:t>
      </w:r>
      <w:r>
        <w:rPr>
          <w:rFonts w:ascii="Times New Roman" w:eastAsia="宋体"/>
          <w:szCs w:val="20"/>
        </w:rPr>
        <w:t>6.5~7.2</w:t>
      </w:r>
      <w:r>
        <w:rPr>
          <w:rFonts w:hint="eastAsia" w:ascii="Times New Roman" w:eastAsia="宋体"/>
          <w:szCs w:val="20"/>
        </w:rPr>
        <w:t>之间。</w:t>
      </w:r>
    </w:p>
    <w:p>
      <w:pPr>
        <w:pStyle w:val="51"/>
        <w:spacing w:before="156" w:after="156"/>
        <w:ind w:left="2" w:hanging="2"/>
        <w:jc w:val="both"/>
        <w:rPr>
          <w:rFonts w:ascii="Times New Roman" w:eastAsia="宋体"/>
          <w:szCs w:val="20"/>
        </w:rPr>
      </w:pPr>
      <w:r>
        <w:rPr>
          <w:rFonts w:hint="eastAsia" w:ascii="Times New Roman" w:eastAsia="宋体"/>
          <w:szCs w:val="20"/>
        </w:rPr>
        <w:t>将试验对象放入盐雾箱按图</w:t>
      </w:r>
      <w:r>
        <w:rPr>
          <w:rFonts w:ascii="Times New Roman" w:eastAsia="宋体"/>
          <w:szCs w:val="20"/>
        </w:rPr>
        <w:t>1</w:t>
      </w:r>
      <w:r>
        <w:rPr>
          <w:rFonts w:hint="eastAsia" w:ascii="Times New Roman" w:eastAsia="宋体"/>
          <w:szCs w:val="20"/>
        </w:rPr>
        <w:t>2所示循环进行，一个循环持续</w:t>
      </w:r>
      <w:r>
        <w:rPr>
          <w:rFonts w:ascii="Times New Roman" w:eastAsia="宋体"/>
          <w:szCs w:val="20"/>
        </w:rPr>
        <w:t>24 h</w:t>
      </w:r>
      <w:r>
        <w:rPr>
          <w:rFonts w:hint="eastAsia" w:ascii="Times New Roman" w:eastAsia="宋体"/>
          <w:szCs w:val="20"/>
        </w:rPr>
        <w:t>。在</w:t>
      </w:r>
      <w:r>
        <w:rPr>
          <w:rFonts w:ascii="Times New Roman" w:eastAsia="宋体"/>
          <w:szCs w:val="20"/>
        </w:rPr>
        <w:t xml:space="preserve">35 </w:t>
      </w:r>
      <w:r>
        <w:rPr>
          <w:rFonts w:hint="eastAsia" w:ascii="Times New Roman" w:eastAsia="宋体"/>
          <w:szCs w:val="20"/>
        </w:rPr>
        <w:t>℃</w:t>
      </w:r>
      <w:r>
        <w:rPr>
          <w:rFonts w:ascii="Times New Roman" w:eastAsia="宋体"/>
          <w:szCs w:val="20"/>
        </w:rPr>
        <w:t>±2</w:t>
      </w:r>
      <w:r>
        <w:rPr>
          <w:rFonts w:hint="eastAsia" w:ascii="Times New Roman" w:eastAsia="宋体"/>
          <w:szCs w:val="20"/>
        </w:rPr>
        <w:t xml:space="preserve"> ℃下对试验对象喷雾</w:t>
      </w:r>
      <w:r>
        <w:rPr>
          <w:rFonts w:ascii="Times New Roman" w:eastAsia="宋体"/>
          <w:szCs w:val="20"/>
        </w:rPr>
        <w:t>8 h</w:t>
      </w:r>
      <w:r>
        <w:rPr>
          <w:rFonts w:hint="eastAsia" w:ascii="Times New Roman" w:eastAsia="宋体"/>
          <w:szCs w:val="20"/>
        </w:rPr>
        <w:t>，然后静置</w:t>
      </w:r>
      <w:r>
        <w:rPr>
          <w:rFonts w:ascii="Times New Roman" w:eastAsia="宋体"/>
          <w:szCs w:val="20"/>
        </w:rPr>
        <w:t>16 h</w:t>
      </w:r>
      <w:bookmarkStart w:id="1196" w:name="OLE_LINK1"/>
      <w:bookmarkStart w:id="1197" w:name="OLE_LINK2"/>
      <w:r>
        <w:rPr>
          <w:rFonts w:hint="eastAsia" w:ascii="Times New Roman" w:eastAsiaTheme="minorEastAsia"/>
          <w:color w:val="000000"/>
          <w:kern w:val="24"/>
        </w:rPr>
        <w:t>。</w:t>
      </w:r>
      <w:bookmarkEnd w:id="1196"/>
      <w:bookmarkEnd w:id="1197"/>
    </w:p>
    <w:p>
      <w:pPr>
        <w:pStyle w:val="51"/>
        <w:spacing w:before="156" w:after="156"/>
        <w:ind w:left="2" w:hanging="2"/>
        <w:jc w:val="both"/>
        <w:rPr>
          <w:rFonts w:ascii="Times New Roman" w:eastAsia="宋体"/>
          <w:szCs w:val="20"/>
        </w:rPr>
      </w:pPr>
      <w:r>
        <w:rPr>
          <w:rFonts w:hint="eastAsia" w:ascii="Times New Roman" w:eastAsia="宋体"/>
          <w:szCs w:val="20"/>
        </w:rPr>
        <w:t>共进行</w:t>
      </w:r>
      <w:r>
        <w:rPr>
          <w:rFonts w:ascii="Times New Roman" w:eastAsia="宋体"/>
          <w:szCs w:val="20"/>
        </w:rPr>
        <w:t>6</w:t>
      </w:r>
      <w:r>
        <w:rPr>
          <w:rFonts w:hint="eastAsia" w:ascii="Times New Roman" w:eastAsia="宋体"/>
          <w:szCs w:val="20"/>
        </w:rPr>
        <w:t>个循环。</w:t>
      </w:r>
    </w:p>
    <w:p>
      <w:pPr>
        <w:pStyle w:val="51"/>
        <w:spacing w:before="156" w:after="156"/>
        <w:ind w:left="2" w:hanging="2"/>
        <w:jc w:val="both"/>
        <w:rPr>
          <w:rFonts w:ascii="Times New Roman" w:eastAsia="宋体"/>
          <w:szCs w:val="20"/>
        </w:rPr>
      </w:pPr>
      <w:r>
        <w:rPr>
          <w:rFonts w:hint="eastAsia" w:ascii="Times New Roman" w:eastAsia="宋体"/>
          <w:szCs w:val="20"/>
        </w:rPr>
        <w:t>对于完全放置在乘员舱、行李舱或货舱的试验对象，可不进行盐雾试验。</w:t>
      </w:r>
      <w:r>
        <w:rPr>
          <w:rFonts w:ascii="Times New Roman"/>
          <w:kern w:val="2"/>
          <w:szCs w:val="24"/>
        </w:rPr>
        <w:t xml:space="preserve"> </w:t>
      </w:r>
    </w:p>
    <w:p>
      <w:pPr>
        <w:pStyle w:val="23"/>
        <w:spacing w:before="156" w:beforeLines="50"/>
        <w:ind w:firstLine="0" w:firstLineChars="0"/>
        <w:jc w:val="center"/>
        <w:rPr>
          <w:rFonts w:ascii="Times New Roman"/>
          <w:kern w:val="2"/>
          <w:szCs w:val="24"/>
        </w:rPr>
      </w:pPr>
      <w:r>
        <w:rPr>
          <w:rFonts w:ascii="Times New Roman"/>
          <w:kern w:val="2"/>
          <w:szCs w:val="24"/>
        </w:rPr>
        <w:drawing>
          <wp:inline distT="0" distB="0" distL="0" distR="0">
            <wp:extent cx="3959860" cy="1616710"/>
            <wp:effectExtent l="0" t="0" r="2540" b="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21"/>
                    <a:stretch>
                      <a:fillRect/>
                    </a:stretch>
                  </pic:blipFill>
                  <pic:spPr>
                    <a:xfrm>
                      <a:off x="0" y="0"/>
                      <a:ext cx="3960000" cy="1616767"/>
                    </a:xfrm>
                    <a:prstGeom prst="rect">
                      <a:avLst/>
                    </a:prstGeom>
                  </pic:spPr>
                </pic:pic>
              </a:graphicData>
            </a:graphic>
          </wp:inline>
        </w:drawing>
      </w:r>
    </w:p>
    <w:p>
      <w:pPr>
        <w:pStyle w:val="23"/>
        <w:ind w:firstLine="360"/>
        <w:jc w:val="left"/>
        <w:rPr>
          <w:rFonts w:ascii="Times New Roman"/>
          <w:sz w:val="18"/>
          <w:szCs w:val="18"/>
        </w:rPr>
      </w:pPr>
      <w:r>
        <w:rPr>
          <w:rFonts w:ascii="Times New Roman"/>
          <w:sz w:val="18"/>
          <w:szCs w:val="18"/>
        </w:rPr>
        <w:t>说明：</w:t>
      </w:r>
    </w:p>
    <w:p>
      <w:pPr>
        <w:pStyle w:val="23"/>
        <w:ind w:firstLine="360"/>
        <w:jc w:val="left"/>
        <w:rPr>
          <w:rFonts w:ascii="Times New Roman"/>
          <w:sz w:val="18"/>
          <w:szCs w:val="18"/>
        </w:rPr>
      </w:pPr>
      <w:r>
        <w:rPr>
          <w:rFonts w:ascii="Times New Roman"/>
          <w:sz w:val="18"/>
          <w:szCs w:val="18"/>
        </w:rPr>
        <w:t>t——时间，h；</w:t>
      </w:r>
    </w:p>
    <w:p>
      <w:pPr>
        <w:pStyle w:val="23"/>
        <w:ind w:firstLine="360"/>
        <w:jc w:val="left"/>
        <w:rPr>
          <w:rFonts w:ascii="Times New Roman"/>
          <w:sz w:val="18"/>
          <w:szCs w:val="18"/>
        </w:rPr>
      </w:pPr>
      <w:r>
        <w:rPr>
          <w:rFonts w:hint="eastAsia" w:ascii="Times New Roman"/>
          <w:sz w:val="18"/>
          <w:szCs w:val="18"/>
        </w:rPr>
        <w:t>a</w:t>
      </w:r>
      <w:r>
        <w:rPr>
          <w:rFonts w:ascii="Times New Roman"/>
          <w:sz w:val="18"/>
          <w:szCs w:val="18"/>
        </w:rPr>
        <w:t>——</w:t>
      </w:r>
      <w:r>
        <w:rPr>
          <w:rFonts w:hint="eastAsia" w:ascii="Times New Roman"/>
          <w:sz w:val="18"/>
          <w:szCs w:val="18"/>
        </w:rPr>
        <w:t>连接线束</w:t>
      </w:r>
      <w:r>
        <w:rPr>
          <w:rFonts w:ascii="Times New Roman"/>
          <w:sz w:val="18"/>
          <w:szCs w:val="18"/>
        </w:rPr>
        <w:t>完毕，不通电；</w:t>
      </w:r>
    </w:p>
    <w:p>
      <w:pPr>
        <w:pStyle w:val="23"/>
        <w:ind w:firstLine="360"/>
        <w:jc w:val="left"/>
        <w:rPr>
          <w:rFonts w:ascii="Times New Roman"/>
          <w:sz w:val="18"/>
          <w:szCs w:val="18"/>
        </w:rPr>
      </w:pPr>
      <w:r>
        <w:rPr>
          <w:rFonts w:ascii="Times New Roman"/>
          <w:sz w:val="18"/>
          <w:szCs w:val="18"/>
        </w:rPr>
        <w:t>b——打开（喷盐雾）；</w:t>
      </w:r>
    </w:p>
    <w:p>
      <w:pPr>
        <w:pStyle w:val="23"/>
        <w:ind w:firstLine="360"/>
        <w:rPr>
          <w:rFonts w:ascii="Times New Roman"/>
          <w:sz w:val="18"/>
          <w:szCs w:val="18"/>
        </w:rPr>
      </w:pPr>
      <w:r>
        <w:rPr>
          <w:rFonts w:ascii="Times New Roman"/>
          <w:sz w:val="18"/>
          <w:szCs w:val="18"/>
        </w:rPr>
        <w:t>c——关闭（停喷盐雾）</w:t>
      </w:r>
      <w:r>
        <w:rPr>
          <w:rFonts w:hint="eastAsia" w:ascii="Times New Roman"/>
          <w:sz w:val="18"/>
          <w:szCs w:val="18"/>
        </w:rPr>
        <w:t xml:space="preserve"> </w:t>
      </w:r>
      <w:r>
        <w:rPr>
          <w:rFonts w:ascii="Times New Roman"/>
          <w:sz w:val="18"/>
          <w:szCs w:val="18"/>
        </w:rPr>
        <w:t xml:space="preserve">              </w:t>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w:t>
      </w:r>
      <w:r>
        <w:rPr>
          <w:rFonts w:ascii="黑体" w:hAnsi="黑体" w:eastAsia="黑体"/>
        </w:rPr>
        <w:t>1</w:t>
      </w:r>
      <w:r>
        <w:rPr>
          <w:rFonts w:hint="eastAsia" w:ascii="黑体" w:hAnsi="黑体" w:eastAsia="黑体"/>
        </w:rPr>
        <w:t>2</w:t>
      </w:r>
      <w:r>
        <w:rPr>
          <w:rFonts w:ascii="黑体" w:hAnsi="黑体" w:eastAsia="黑体"/>
        </w:rPr>
        <w:t xml:space="preserve"> </w:t>
      </w:r>
      <w:r>
        <w:rPr>
          <w:rFonts w:hint="eastAsia" w:ascii="黑体" w:hAnsi="黑体" w:eastAsia="黑体"/>
        </w:rPr>
        <w:t>盐雾试验循环</w:t>
      </w:r>
    </w:p>
    <w:p>
      <w:pPr>
        <w:pStyle w:val="46"/>
        <w:spacing w:before="156" w:after="156"/>
        <w:ind w:left="2"/>
        <w:outlineLvl w:val="2"/>
        <w:rPr>
          <w:rFonts w:hAnsi="黑体"/>
        </w:rPr>
      </w:pPr>
      <w:bookmarkStart w:id="1198" w:name="_Toc504059452"/>
      <w:bookmarkStart w:id="1199" w:name="_Toc513232551"/>
      <w:bookmarkStart w:id="1200" w:name="_Toc513234367"/>
      <w:r>
        <w:rPr>
          <w:rFonts w:hint="eastAsia" w:hAnsi="黑体"/>
        </w:rPr>
        <w:t>高海拔</w:t>
      </w:r>
      <w:bookmarkEnd w:id="1198"/>
      <w:bookmarkEnd w:id="1199"/>
      <w:bookmarkEnd w:id="1200"/>
    </w:p>
    <w:p>
      <w:pPr>
        <w:pStyle w:val="51"/>
        <w:spacing w:before="156" w:after="156"/>
        <w:ind w:left="2" w:hanging="2"/>
        <w:jc w:val="both"/>
        <w:rPr>
          <w:rFonts w:ascii="Times New Roman" w:eastAsia="宋体"/>
          <w:szCs w:val="20"/>
        </w:rPr>
      </w:pPr>
      <w:r>
        <w:rPr>
          <w:rFonts w:hint="eastAsia" w:ascii="Times New Roman" w:eastAsia="宋体"/>
          <w:szCs w:val="20"/>
        </w:rPr>
        <w:t>试验对象为电池包或系统。</w:t>
      </w:r>
    </w:p>
    <w:p>
      <w:pPr>
        <w:pStyle w:val="51"/>
        <w:spacing w:before="156" w:after="156"/>
        <w:ind w:left="2" w:hanging="2"/>
        <w:jc w:val="both"/>
      </w:pPr>
      <w:r>
        <w:rPr>
          <w:rFonts w:hint="eastAsia" w:ascii="Times New Roman" w:eastAsia="宋体"/>
          <w:szCs w:val="20"/>
        </w:rPr>
        <w:t>为保护试验操作人员和实验室安全，制造商应提供电流锐变限值、电压异常限值作为异常终止条件。</w:t>
      </w:r>
    </w:p>
    <w:p>
      <w:pPr>
        <w:pStyle w:val="51"/>
        <w:spacing w:before="156" w:after="156"/>
        <w:ind w:left="2" w:hanging="2"/>
        <w:jc w:val="both"/>
        <w:rPr>
          <w:rFonts w:ascii="Times New Roman" w:eastAsia="宋体"/>
          <w:szCs w:val="20"/>
        </w:rPr>
      </w:pPr>
      <w:r>
        <w:rPr>
          <w:rFonts w:hint="eastAsia" w:ascii="Times New Roman" w:eastAsia="宋体"/>
          <w:szCs w:val="20"/>
        </w:rPr>
        <w:t>测试环境：</w:t>
      </w:r>
      <w:r>
        <w:rPr>
          <w:rFonts w:ascii="Times New Roman" w:eastAsia="宋体"/>
          <w:szCs w:val="20"/>
        </w:rPr>
        <w:t>气压条件</w:t>
      </w:r>
      <w:r>
        <w:rPr>
          <w:rFonts w:hint="eastAsia" w:ascii="Times New Roman" w:eastAsia="宋体"/>
          <w:szCs w:val="20"/>
        </w:rPr>
        <w:t>为61</w:t>
      </w:r>
      <w:r>
        <w:rPr>
          <w:rFonts w:ascii="Times New Roman" w:eastAsia="宋体"/>
          <w:szCs w:val="20"/>
        </w:rPr>
        <w:t>.2 kPa</w:t>
      </w:r>
      <w:r>
        <w:rPr>
          <w:rFonts w:hint="eastAsia" w:ascii="Times New Roman" w:eastAsia="宋体"/>
          <w:szCs w:val="20"/>
        </w:rPr>
        <w:t>（</w:t>
      </w:r>
      <w:r>
        <w:rPr>
          <w:rFonts w:ascii="Times New Roman" w:eastAsia="宋体"/>
          <w:szCs w:val="20"/>
        </w:rPr>
        <w:t>模拟海拔</w:t>
      </w:r>
      <w:r>
        <w:rPr>
          <w:rFonts w:hint="eastAsia" w:ascii="Times New Roman" w:eastAsia="宋体"/>
          <w:szCs w:val="20"/>
        </w:rPr>
        <w:t>高度</w:t>
      </w:r>
      <w:r>
        <w:rPr>
          <w:rFonts w:ascii="Times New Roman" w:eastAsia="宋体"/>
          <w:szCs w:val="20"/>
        </w:rPr>
        <w:t>为4000 m</w:t>
      </w:r>
      <w:r>
        <w:rPr>
          <w:rFonts w:hint="eastAsia" w:ascii="Times New Roman" w:eastAsia="宋体"/>
          <w:szCs w:val="20"/>
        </w:rPr>
        <w:t>的气压</w:t>
      </w:r>
      <w:r>
        <w:rPr>
          <w:rFonts w:ascii="Times New Roman" w:eastAsia="宋体"/>
          <w:szCs w:val="20"/>
        </w:rPr>
        <w:t>条件）</w:t>
      </w:r>
      <w:r>
        <w:rPr>
          <w:rFonts w:hint="eastAsia" w:ascii="Times New Roman" w:eastAsia="宋体"/>
          <w:szCs w:val="20"/>
        </w:rPr>
        <w:t>，温度为试验环境</w:t>
      </w:r>
      <w:r>
        <w:rPr>
          <w:rFonts w:ascii="Times New Roman" w:eastAsia="宋体"/>
          <w:szCs w:val="20"/>
        </w:rPr>
        <w:t>温度</w:t>
      </w:r>
      <w:r>
        <w:rPr>
          <w:rFonts w:hint="eastAsia" w:ascii="Times New Roman" w:eastAsia="宋体"/>
          <w:szCs w:val="20"/>
        </w:rPr>
        <w:t>。</w:t>
      </w:r>
    </w:p>
    <w:p>
      <w:pPr>
        <w:pStyle w:val="51"/>
        <w:spacing w:before="156" w:after="156"/>
        <w:ind w:left="2" w:hanging="2"/>
        <w:jc w:val="both"/>
        <w:rPr>
          <w:rFonts w:ascii="Times New Roman" w:eastAsia="宋体"/>
          <w:szCs w:val="20"/>
        </w:rPr>
      </w:pPr>
      <w:r>
        <w:rPr>
          <w:rFonts w:hint="eastAsia" w:ascii="Times New Roman" w:eastAsia="宋体"/>
          <w:szCs w:val="20"/>
        </w:rPr>
        <w:t>保持8</w:t>
      </w:r>
      <w:r>
        <w:rPr>
          <w:rFonts w:ascii="Times New Roman" w:eastAsia="宋体"/>
          <w:szCs w:val="20"/>
        </w:rPr>
        <w:t>.2.10.2</w:t>
      </w:r>
      <w:r>
        <w:rPr>
          <w:rFonts w:hint="eastAsia" w:ascii="Times New Roman" w:eastAsia="宋体"/>
          <w:szCs w:val="20"/>
        </w:rPr>
        <w:t>测试环境，搁置5</w:t>
      </w:r>
      <w:r>
        <w:rPr>
          <w:rFonts w:ascii="Times New Roman" w:eastAsia="宋体"/>
          <w:szCs w:val="20"/>
        </w:rPr>
        <w:t xml:space="preserve"> </w:t>
      </w:r>
      <w:r>
        <w:rPr>
          <w:rFonts w:hint="eastAsia" w:ascii="Times New Roman" w:eastAsia="宋体"/>
          <w:szCs w:val="20"/>
        </w:rPr>
        <w:t>h。</w:t>
      </w:r>
    </w:p>
    <w:p>
      <w:pPr>
        <w:pStyle w:val="51"/>
        <w:spacing w:before="156" w:after="156"/>
        <w:ind w:left="2" w:hanging="2"/>
        <w:jc w:val="both"/>
        <w:rPr>
          <w:rFonts w:ascii="Times New Roman" w:eastAsia="宋体"/>
          <w:szCs w:val="20"/>
        </w:rPr>
      </w:pPr>
      <w:r>
        <w:rPr>
          <w:rFonts w:ascii="Times New Roman" w:eastAsia="宋体"/>
          <w:szCs w:val="20"/>
        </w:rPr>
        <w:t>搁置结束后，</w:t>
      </w:r>
      <w:r>
        <w:rPr>
          <w:rFonts w:hint="eastAsia" w:ascii="Times New Roman" w:eastAsia="宋体"/>
          <w:szCs w:val="20"/>
        </w:rPr>
        <w:t>保持8</w:t>
      </w:r>
      <w:r>
        <w:rPr>
          <w:rFonts w:ascii="Times New Roman" w:eastAsia="宋体"/>
          <w:szCs w:val="20"/>
        </w:rPr>
        <w:t>.2.10.2</w:t>
      </w:r>
      <w:r>
        <w:rPr>
          <w:rFonts w:hint="eastAsia" w:ascii="Times New Roman" w:eastAsia="宋体"/>
          <w:szCs w:val="20"/>
        </w:rPr>
        <w:t>测试</w:t>
      </w:r>
      <w:r>
        <w:rPr>
          <w:rFonts w:ascii="Times New Roman" w:eastAsia="宋体"/>
          <w:szCs w:val="20"/>
        </w:rPr>
        <w:t>环境</w:t>
      </w:r>
      <w:r>
        <w:rPr>
          <w:rFonts w:hint="eastAsia" w:ascii="Times New Roman" w:eastAsia="宋体"/>
          <w:szCs w:val="20"/>
        </w:rPr>
        <w:t>，对试验对象按制造商规定的且不小于1</w:t>
      </w:r>
      <w:r>
        <w:rPr>
          <w:rFonts w:hint="eastAsia" w:ascii="Times New Roman"/>
          <w:i/>
        </w:rPr>
        <w:t xml:space="preserve"> I</w:t>
      </w:r>
      <w:r>
        <w:rPr>
          <w:rFonts w:hint="eastAsia" w:ascii="Times New Roman"/>
          <w:vertAlign w:val="subscript"/>
        </w:rPr>
        <w:t>3</w:t>
      </w:r>
      <w:r>
        <w:rPr>
          <w:rFonts w:hint="eastAsia" w:ascii="Times New Roman" w:eastAsia="宋体"/>
          <w:szCs w:val="20"/>
        </w:rPr>
        <w:t>的电流放电至制造商规定的放电截止条件。</w:t>
      </w:r>
    </w:p>
    <w:p>
      <w:pPr>
        <w:pStyle w:val="51"/>
        <w:spacing w:before="156" w:after="156"/>
        <w:ind w:left="2" w:hanging="2"/>
        <w:jc w:val="both"/>
        <w:rPr>
          <w:rFonts w:ascii="Times New Roman" w:eastAsia="宋体"/>
          <w:szCs w:val="20"/>
        </w:rPr>
      </w:pPr>
      <w:r>
        <w:rPr>
          <w:rFonts w:hint="eastAsia" w:ascii="Times New Roman" w:eastAsia="宋体"/>
          <w:szCs w:val="20"/>
        </w:rPr>
        <w:t>完成以上</w:t>
      </w:r>
      <w:r>
        <w:rPr>
          <w:rFonts w:ascii="Times New Roman" w:eastAsia="宋体"/>
          <w:szCs w:val="20"/>
        </w:rPr>
        <w:t>试验步骤后</w:t>
      </w:r>
      <w:r>
        <w:rPr>
          <w:rFonts w:hint="eastAsia" w:ascii="Times New Roman" w:eastAsia="宋体"/>
          <w:szCs w:val="20"/>
        </w:rPr>
        <w:t>，在试验环境温度下观察2</w:t>
      </w:r>
      <w:r>
        <w:rPr>
          <w:rFonts w:ascii="Times New Roman" w:eastAsia="宋体"/>
          <w:szCs w:val="20"/>
        </w:rPr>
        <w:t xml:space="preserve"> </w:t>
      </w:r>
      <w:r>
        <w:rPr>
          <w:rFonts w:hint="eastAsia" w:ascii="Times New Roman" w:eastAsia="宋体"/>
          <w:szCs w:val="20"/>
        </w:rPr>
        <w:t>h。</w:t>
      </w:r>
    </w:p>
    <w:p>
      <w:pPr>
        <w:pStyle w:val="46"/>
        <w:spacing w:before="156" w:after="156"/>
        <w:ind w:left="2"/>
        <w:outlineLvl w:val="2"/>
        <w:rPr>
          <w:rFonts w:hAnsi="黑体"/>
        </w:rPr>
      </w:pPr>
      <w:bookmarkStart w:id="1201" w:name="_Toc504059453"/>
      <w:bookmarkStart w:id="1202" w:name="_Toc450683012"/>
      <w:bookmarkStart w:id="1203" w:name="_Toc513232552"/>
      <w:bookmarkStart w:id="1204" w:name="_Toc468729587"/>
      <w:bookmarkStart w:id="1205" w:name="_Toc513234368"/>
      <w:r>
        <w:rPr>
          <w:rFonts w:hint="eastAsia" w:hAnsi="黑体"/>
        </w:rPr>
        <w:t>过温保护</w:t>
      </w:r>
      <w:bookmarkEnd w:id="1201"/>
      <w:bookmarkEnd w:id="1202"/>
      <w:bookmarkEnd w:id="1203"/>
      <w:bookmarkEnd w:id="1204"/>
      <w:bookmarkEnd w:id="1205"/>
    </w:p>
    <w:p>
      <w:pPr>
        <w:pStyle w:val="51"/>
        <w:spacing w:before="156" w:after="156"/>
        <w:ind w:left="2" w:hanging="2"/>
      </w:pPr>
      <w:bookmarkStart w:id="1206" w:name="_Toc468729589"/>
      <w:r>
        <w:rPr>
          <w:rFonts w:hint="eastAsia" w:ascii="宋体" w:eastAsia="宋体" w:cs="宋体"/>
        </w:rPr>
        <w:t>试验对象为电池系统。</w:t>
      </w:r>
    </w:p>
    <w:p>
      <w:pPr>
        <w:pStyle w:val="51"/>
        <w:spacing w:before="156" w:after="156"/>
        <w:ind w:left="2" w:hanging="2"/>
        <w:jc w:val="both"/>
      </w:pPr>
      <w:r>
        <w:rPr>
          <w:rFonts w:hint="eastAsia" w:ascii="Times New Roman" w:eastAsia="宋体"/>
          <w:szCs w:val="20"/>
        </w:rPr>
        <w:t>为保护试验操作人员和实验室安全，制造商应提供试验上限参数作为异常终止条件。</w:t>
      </w:r>
    </w:p>
    <w:p>
      <w:pPr>
        <w:pStyle w:val="51"/>
        <w:spacing w:before="156" w:after="156"/>
        <w:ind w:left="2" w:hanging="2"/>
        <w:rPr>
          <w:rFonts w:ascii="宋体" w:eastAsia="宋体" w:cs="宋体"/>
        </w:rPr>
      </w:pPr>
      <w:r>
        <w:rPr>
          <w:rFonts w:hint="eastAsia" w:ascii="宋体" w:eastAsia="宋体" w:cs="宋体"/>
        </w:rPr>
        <w:t>在试验开始时，影响试验对象功能并与试验结果相关的所有保护设备都应处于正常运行状态，冷却系统除外。</w:t>
      </w:r>
    </w:p>
    <w:p>
      <w:pPr>
        <w:pStyle w:val="51"/>
        <w:spacing w:before="156" w:after="156"/>
        <w:ind w:left="2" w:hanging="2"/>
        <w:rPr>
          <w:rFonts w:ascii="宋体" w:eastAsia="宋体" w:cs="宋体"/>
        </w:rPr>
      </w:pPr>
      <w:r>
        <w:rPr>
          <w:rFonts w:hint="eastAsia" w:ascii="宋体" w:eastAsia="宋体" w:cs="宋体"/>
        </w:rPr>
        <w:t>试验对象应由外部充放电设备进行连续充电和放电，使电流在电池系统制造商规定的正常工作范围内尽可能快地升高电池的温度，直到试验结束。</w:t>
      </w:r>
    </w:p>
    <w:p>
      <w:pPr>
        <w:pStyle w:val="51"/>
        <w:spacing w:before="156" w:after="156"/>
        <w:ind w:left="2" w:hanging="2"/>
        <w:rPr>
          <w:rFonts w:ascii="Times New Roman" w:eastAsia="宋体"/>
        </w:rPr>
      </w:pPr>
      <w:r>
        <w:rPr>
          <w:rFonts w:ascii="Times New Roman" w:eastAsia="宋体"/>
        </w:rPr>
        <w:t>室内或</w:t>
      </w:r>
      <w:r>
        <w:rPr>
          <w:rFonts w:hint="eastAsia" w:ascii="Times New Roman" w:eastAsia="宋体"/>
        </w:rPr>
        <w:t>温度</w:t>
      </w:r>
      <w:r>
        <w:rPr>
          <w:rFonts w:ascii="Times New Roman" w:eastAsia="宋体"/>
        </w:rPr>
        <w:t>箱的温度应从20</w:t>
      </w:r>
      <w:r>
        <w:rPr>
          <w:rFonts w:hint="eastAsia" w:ascii="宋体" w:hAnsi="宋体" w:eastAsia="宋体" w:cs="宋体"/>
          <w:lang w:eastAsia="ja-JP"/>
        </w:rPr>
        <w:t>℃</w:t>
      </w:r>
      <w:r>
        <w:rPr>
          <w:rFonts w:ascii="Times New Roman" w:eastAsia="宋体"/>
        </w:rPr>
        <w:t>±10</w:t>
      </w:r>
      <w:r>
        <w:rPr>
          <w:rFonts w:hint="eastAsia" w:ascii="宋体" w:hAnsi="宋体" w:eastAsia="宋体" w:cs="宋体"/>
        </w:rPr>
        <w:t>℃</w:t>
      </w:r>
      <w:r>
        <w:rPr>
          <w:rFonts w:ascii="Times New Roman" w:eastAsia="宋体"/>
        </w:rPr>
        <w:t>或更高的温度（如果电池系统制造商要求）开始逐渐升高，直到达到根据a)或b)（如适用）确定的温度，然后保持在等于或高于此温度，直到试验结束。</w:t>
      </w:r>
    </w:p>
    <w:p>
      <w:pPr>
        <w:pStyle w:val="51"/>
        <w:numPr>
          <w:ilvl w:val="0"/>
          <w:numId w:val="21"/>
        </w:numPr>
        <w:spacing w:before="0" w:beforeLines="0" w:after="0" w:afterLines="0"/>
        <w:rPr>
          <w:rFonts w:ascii="Times New Roman" w:eastAsiaTheme="minorEastAsia"/>
        </w:rPr>
      </w:pPr>
      <w:r>
        <w:rPr>
          <w:rFonts w:ascii="Times New Roman" w:eastAsiaTheme="minorEastAsia"/>
        </w:rPr>
        <w:t>当电池系统具有内部</w:t>
      </w:r>
      <w:r>
        <w:rPr>
          <w:rFonts w:hint="eastAsia" w:ascii="Times New Roman" w:eastAsiaTheme="minorEastAsia"/>
        </w:rPr>
        <w:t>过热</w:t>
      </w:r>
      <w:r>
        <w:rPr>
          <w:rFonts w:ascii="Times New Roman" w:eastAsiaTheme="minorEastAsia"/>
        </w:rPr>
        <w:t>保护措施时，应提高到电池系统制造商定义为这种保护措施的工作温度阈值的温度，以确保试验对象的温度将按照</w:t>
      </w:r>
      <w:r>
        <w:rPr>
          <w:rFonts w:hint="eastAsia" w:ascii="Times New Roman" w:eastAsiaTheme="minorEastAsia"/>
        </w:rPr>
        <w:t>8.2.</w:t>
      </w:r>
      <w:r>
        <w:rPr>
          <w:rFonts w:ascii="Times New Roman" w:eastAsiaTheme="minorEastAsia"/>
        </w:rPr>
        <w:t>11</w:t>
      </w:r>
      <w:r>
        <w:rPr>
          <w:rFonts w:hint="eastAsia" w:ascii="Times New Roman" w:eastAsiaTheme="minorEastAsia"/>
        </w:rPr>
        <w:t>.4</w:t>
      </w:r>
      <w:r>
        <w:rPr>
          <w:rFonts w:ascii="Times New Roman" w:eastAsiaTheme="minorEastAsia"/>
        </w:rPr>
        <w:t>的规定升高。</w:t>
      </w:r>
    </w:p>
    <w:p>
      <w:pPr>
        <w:pStyle w:val="51"/>
        <w:numPr>
          <w:ilvl w:val="0"/>
          <w:numId w:val="21"/>
        </w:numPr>
        <w:spacing w:before="0" w:beforeLines="0" w:after="0" w:afterLines="0"/>
        <w:rPr>
          <w:rFonts w:ascii="Times New Roman" w:eastAsiaTheme="minorEastAsia"/>
        </w:rPr>
      </w:pPr>
      <w:r>
        <w:rPr>
          <w:rFonts w:ascii="Times New Roman" w:eastAsiaTheme="minorEastAsia"/>
        </w:rPr>
        <w:t>如果电池系统没有配备任何具体的内部过热防护措施，那么应将温度升高到电池系统制造商规定的最高工作温度。</w:t>
      </w:r>
    </w:p>
    <w:p>
      <w:pPr>
        <w:pStyle w:val="51"/>
        <w:spacing w:before="156" w:after="156"/>
        <w:ind w:left="2" w:hanging="2"/>
        <w:rPr>
          <w:rFonts w:ascii="宋体" w:eastAsia="宋体" w:cs="宋体"/>
        </w:rPr>
      </w:pPr>
      <w:r>
        <w:rPr>
          <w:rFonts w:hint="eastAsia" w:ascii="宋体" w:eastAsia="宋体" w:cs="宋体"/>
        </w:rPr>
        <w:t>当符合以下任一条件时，结束试验：</w:t>
      </w:r>
    </w:p>
    <w:p>
      <w:pPr>
        <w:pStyle w:val="51"/>
        <w:numPr>
          <w:ilvl w:val="0"/>
          <w:numId w:val="22"/>
        </w:numPr>
        <w:spacing w:before="0" w:beforeLines="0" w:after="0" w:afterLines="0"/>
        <w:rPr>
          <w:rFonts w:asciiTheme="minorEastAsia" w:hAnsiTheme="minorEastAsia" w:eastAsiaTheme="minorEastAsia"/>
        </w:rPr>
      </w:pPr>
      <w:r>
        <w:rPr>
          <w:rFonts w:hint="eastAsia" w:asciiTheme="minorEastAsia" w:hAnsiTheme="minorEastAsia" w:eastAsiaTheme="minorEastAsia"/>
        </w:rPr>
        <w:t>试验</w:t>
      </w:r>
      <w:r>
        <w:rPr>
          <w:rFonts w:asciiTheme="minorEastAsia" w:hAnsiTheme="minorEastAsia" w:eastAsiaTheme="minorEastAsia"/>
        </w:rPr>
        <w:t>对象自动</w:t>
      </w:r>
      <w:r>
        <w:rPr>
          <w:rFonts w:hint="eastAsia" w:asciiTheme="minorEastAsia" w:hAnsiTheme="minorEastAsia" w:eastAsiaTheme="minorEastAsia"/>
        </w:rPr>
        <w:t>终止</w:t>
      </w:r>
      <w:r>
        <w:rPr>
          <w:rFonts w:asciiTheme="minorEastAsia" w:hAnsiTheme="minorEastAsia" w:eastAsiaTheme="minorEastAsia"/>
        </w:rPr>
        <w:t>或限制充电或放电</w:t>
      </w:r>
      <w:r>
        <w:rPr>
          <w:rFonts w:hint="eastAsia" w:asciiTheme="minorEastAsia" w:hAnsiTheme="minorEastAsia" w:eastAsiaTheme="minorEastAsia"/>
        </w:rPr>
        <w:t>；</w:t>
      </w:r>
    </w:p>
    <w:p>
      <w:pPr>
        <w:pStyle w:val="51"/>
        <w:numPr>
          <w:ilvl w:val="0"/>
          <w:numId w:val="22"/>
        </w:numPr>
        <w:spacing w:before="0" w:beforeLines="0" w:after="0" w:afterLines="0"/>
        <w:rPr>
          <w:rFonts w:asciiTheme="minorEastAsia" w:hAnsiTheme="minorEastAsia" w:eastAsiaTheme="minorEastAsia"/>
        </w:rPr>
      </w:pPr>
      <w:r>
        <w:rPr>
          <w:rFonts w:hint="eastAsia" w:asciiTheme="minorEastAsia" w:hAnsiTheme="minorEastAsia" w:eastAsiaTheme="minorEastAsia"/>
        </w:rPr>
        <w:t>试验</w:t>
      </w:r>
      <w:r>
        <w:rPr>
          <w:rFonts w:asciiTheme="minorEastAsia" w:hAnsiTheme="minorEastAsia" w:eastAsiaTheme="minorEastAsia"/>
        </w:rPr>
        <w:t>对象发出</w:t>
      </w:r>
      <w:r>
        <w:rPr>
          <w:rFonts w:hint="eastAsia" w:asciiTheme="minorEastAsia" w:hAnsiTheme="minorEastAsia" w:eastAsiaTheme="minorEastAsia"/>
        </w:rPr>
        <w:t>终止</w:t>
      </w:r>
      <w:r>
        <w:rPr>
          <w:rFonts w:asciiTheme="minorEastAsia" w:hAnsiTheme="minorEastAsia" w:eastAsiaTheme="minorEastAsia"/>
        </w:rPr>
        <w:t>或限制充电或放电的信号</w:t>
      </w:r>
      <w:r>
        <w:rPr>
          <w:rFonts w:hint="eastAsia" w:asciiTheme="minorEastAsia" w:hAnsiTheme="minorEastAsia" w:eastAsiaTheme="minorEastAsia"/>
        </w:rPr>
        <w:t>；</w:t>
      </w:r>
    </w:p>
    <w:p>
      <w:pPr>
        <w:pStyle w:val="51"/>
        <w:numPr>
          <w:ilvl w:val="0"/>
          <w:numId w:val="22"/>
        </w:numPr>
        <w:spacing w:before="0" w:beforeLines="0" w:after="0" w:afterLines="0"/>
        <w:rPr>
          <w:rFonts w:asciiTheme="minorEastAsia" w:hAnsiTheme="minorEastAsia" w:eastAsiaTheme="minorEastAsia"/>
        </w:rPr>
      </w:pPr>
      <w:r>
        <w:rPr>
          <w:rFonts w:hint="eastAsia" w:asciiTheme="minorEastAsia" w:hAnsiTheme="minorEastAsia" w:eastAsiaTheme="minorEastAsia"/>
        </w:rPr>
        <w:t>试验</w:t>
      </w:r>
      <w:r>
        <w:rPr>
          <w:rFonts w:asciiTheme="minorEastAsia" w:hAnsiTheme="minorEastAsia" w:eastAsiaTheme="minorEastAsia"/>
        </w:rPr>
        <w:t>对象的温度稳定，温度</w:t>
      </w:r>
      <w:r>
        <w:rPr>
          <w:rFonts w:hint="eastAsia" w:asciiTheme="minorEastAsia" w:hAnsiTheme="minorEastAsia" w:eastAsiaTheme="minorEastAsia"/>
        </w:rPr>
        <w:t>变化</w:t>
      </w:r>
      <w:r>
        <w:rPr>
          <w:rFonts w:asciiTheme="minorEastAsia" w:hAnsiTheme="minorEastAsia" w:eastAsiaTheme="minorEastAsia"/>
        </w:rPr>
        <w:t>在2 h内小于</w:t>
      </w:r>
      <w:r>
        <w:rPr>
          <w:rFonts w:ascii="Times New Roman"/>
        </w:rPr>
        <w:t>4 ℃</w:t>
      </w:r>
      <w:r>
        <w:rPr>
          <w:rFonts w:asciiTheme="minorEastAsia" w:hAnsiTheme="minorEastAsia" w:eastAsiaTheme="minorEastAsia"/>
        </w:rPr>
        <w:t>。</w:t>
      </w:r>
    </w:p>
    <w:p>
      <w:pPr>
        <w:pStyle w:val="51"/>
        <w:spacing w:before="156" w:after="156"/>
        <w:ind w:left="2" w:hanging="2"/>
        <w:rPr>
          <w:rFonts w:ascii="Times New Roman" w:eastAsia="宋体"/>
        </w:rPr>
      </w:pPr>
      <w:r>
        <w:rPr>
          <w:rFonts w:hint="eastAsia" w:ascii="Times New Roman" w:eastAsia="宋体"/>
          <w:szCs w:val="20"/>
        </w:rPr>
        <w:t>完成以上</w:t>
      </w:r>
      <w:r>
        <w:rPr>
          <w:rFonts w:ascii="Times New Roman" w:eastAsia="宋体"/>
          <w:szCs w:val="20"/>
        </w:rPr>
        <w:t>试验步骤后</w:t>
      </w:r>
      <w:r>
        <w:rPr>
          <w:rFonts w:ascii="Times New Roman" w:eastAsia="宋体"/>
        </w:rPr>
        <w:t>，在试验</w:t>
      </w:r>
      <w:r>
        <w:rPr>
          <w:rFonts w:hint="eastAsia" w:ascii="Times New Roman" w:eastAsia="宋体"/>
        </w:rPr>
        <w:t>环境</w:t>
      </w:r>
      <w:r>
        <w:rPr>
          <w:rFonts w:ascii="Times New Roman" w:eastAsia="宋体"/>
        </w:rPr>
        <w:t>温度下观察1 h。</w:t>
      </w:r>
    </w:p>
    <w:bookmarkEnd w:id="1206"/>
    <w:p>
      <w:pPr>
        <w:pStyle w:val="46"/>
        <w:spacing w:before="156" w:after="156"/>
        <w:ind w:left="2"/>
        <w:outlineLvl w:val="2"/>
        <w:rPr>
          <w:rFonts w:hAnsi="黑体"/>
        </w:rPr>
      </w:pPr>
      <w:bookmarkStart w:id="1207" w:name="_Toc513232553"/>
      <w:bookmarkStart w:id="1208" w:name="_Toc468729595"/>
      <w:bookmarkStart w:id="1209" w:name="_Toc513234369"/>
      <w:bookmarkStart w:id="1210" w:name="_Toc450683020"/>
      <w:bookmarkStart w:id="1211" w:name="_Toc504059454"/>
      <w:r>
        <w:rPr>
          <w:rFonts w:hint="eastAsia" w:hAnsi="黑体"/>
        </w:rPr>
        <w:t>过流保护</w:t>
      </w:r>
      <w:bookmarkEnd w:id="1207"/>
      <w:bookmarkEnd w:id="1208"/>
      <w:bookmarkEnd w:id="1209"/>
      <w:bookmarkEnd w:id="1210"/>
      <w:bookmarkEnd w:id="1211"/>
    </w:p>
    <w:p>
      <w:pPr>
        <w:pStyle w:val="51"/>
        <w:spacing w:before="156" w:after="156"/>
        <w:ind w:left="2" w:hanging="2"/>
        <w:rPr>
          <w:rFonts w:eastAsia="宋体"/>
        </w:rPr>
      </w:pPr>
      <w:r>
        <w:rPr>
          <w:rFonts w:hint="eastAsia" w:eastAsia="宋体"/>
        </w:rPr>
        <w:t>试验对象为可由外部直流电源供电的电池系统。</w:t>
      </w:r>
    </w:p>
    <w:p>
      <w:pPr>
        <w:pStyle w:val="51"/>
        <w:spacing w:before="156" w:after="156"/>
        <w:ind w:left="2" w:hanging="2"/>
      </w:pPr>
      <w:r>
        <w:rPr>
          <w:rFonts w:hint="eastAsia" w:ascii="Times New Roman" w:eastAsia="宋体"/>
          <w:szCs w:val="20"/>
        </w:rPr>
        <w:t>为保护试验操作人员和实验室安全，制造商应提供试验上限参数作为异常终止条件。</w:t>
      </w:r>
    </w:p>
    <w:p>
      <w:pPr>
        <w:pStyle w:val="51"/>
        <w:spacing w:before="156" w:after="156"/>
        <w:ind w:left="2" w:hanging="2"/>
      </w:pPr>
      <w:r>
        <w:rPr>
          <w:rFonts w:hint="eastAsia" w:eastAsia="宋体"/>
        </w:rPr>
        <w:t>试验条件如下：</w:t>
      </w:r>
      <w:r>
        <w:t xml:space="preserve"> </w:t>
      </w:r>
    </w:p>
    <w:p>
      <w:pPr>
        <w:pStyle w:val="51"/>
        <w:numPr>
          <w:ilvl w:val="0"/>
          <w:numId w:val="23"/>
        </w:numPr>
        <w:spacing w:before="0" w:beforeLines="0" w:after="0" w:afterLines="0"/>
        <w:jc w:val="both"/>
        <w:rPr>
          <w:rFonts w:asciiTheme="minorEastAsia" w:hAnsiTheme="minorEastAsia" w:eastAsiaTheme="minorEastAsia"/>
        </w:rPr>
      </w:pPr>
      <w:r>
        <w:rPr>
          <w:rFonts w:asciiTheme="minorEastAsia" w:hAnsiTheme="minorEastAsia" w:eastAsiaTheme="minorEastAsia"/>
        </w:rPr>
        <w:t xml:space="preserve">试验应在20 </w:t>
      </w:r>
      <w:r>
        <w:rPr>
          <w:rFonts w:hint="eastAsia" w:asciiTheme="minorEastAsia" w:hAnsiTheme="minorEastAsia" w:eastAsiaTheme="minorEastAsia"/>
        </w:rPr>
        <w:t>℃</w:t>
      </w:r>
      <w:r>
        <w:rPr>
          <w:rFonts w:asciiTheme="minorEastAsia" w:hAnsiTheme="minorEastAsia" w:eastAsiaTheme="minorEastAsia"/>
        </w:rPr>
        <w:t xml:space="preserve">±10 </w:t>
      </w:r>
      <w:r>
        <w:rPr>
          <w:rFonts w:hint="eastAsia" w:asciiTheme="minorEastAsia" w:hAnsiTheme="minorEastAsia" w:eastAsiaTheme="minorEastAsia"/>
        </w:rPr>
        <w:t>℃</w:t>
      </w:r>
      <w:r>
        <w:rPr>
          <w:rFonts w:asciiTheme="minorEastAsia" w:hAnsiTheme="minorEastAsia" w:eastAsiaTheme="minorEastAsia"/>
        </w:rPr>
        <w:t>的环境温度下进行</w:t>
      </w:r>
      <w:r>
        <w:rPr>
          <w:rFonts w:hint="eastAsia" w:asciiTheme="minorEastAsia" w:hAnsiTheme="minorEastAsia" w:eastAsiaTheme="minorEastAsia"/>
        </w:rPr>
        <w:t>；</w:t>
      </w:r>
    </w:p>
    <w:p>
      <w:pPr>
        <w:pStyle w:val="51"/>
        <w:numPr>
          <w:ilvl w:val="0"/>
          <w:numId w:val="23"/>
        </w:numPr>
        <w:spacing w:before="0" w:beforeLines="0" w:after="0" w:afterLines="0"/>
        <w:jc w:val="both"/>
        <w:rPr>
          <w:rFonts w:asciiTheme="minorEastAsia" w:hAnsiTheme="minorEastAsia" w:eastAsiaTheme="minorEastAsia"/>
        </w:rPr>
      </w:pPr>
      <w:r>
        <w:rPr>
          <w:rFonts w:asciiTheme="minorEastAsia" w:hAnsiTheme="minorEastAsia" w:eastAsiaTheme="minorEastAsia"/>
        </w:rPr>
        <w:t>按照电池系统制造商推荐的正常操作（如使用外部</w:t>
      </w:r>
      <w:r>
        <w:rPr>
          <w:rFonts w:hint="eastAsia" w:asciiTheme="minorEastAsia" w:hAnsiTheme="minorEastAsia" w:eastAsiaTheme="minorEastAsia"/>
        </w:rPr>
        <w:t>充放电</w:t>
      </w:r>
      <w:r>
        <w:rPr>
          <w:rFonts w:asciiTheme="minorEastAsia" w:hAnsiTheme="minorEastAsia" w:eastAsiaTheme="minorEastAsia"/>
        </w:rPr>
        <w:t>设备），调整试验对象的SOC到正常工作范围的中间部分，只要电池系统能够正常运行，</w:t>
      </w:r>
      <w:r>
        <w:rPr>
          <w:rFonts w:hint="eastAsia" w:asciiTheme="minorEastAsia" w:hAnsiTheme="minorEastAsia" w:eastAsiaTheme="minorEastAsia"/>
        </w:rPr>
        <w:t>可</w:t>
      </w:r>
      <w:r>
        <w:rPr>
          <w:rFonts w:asciiTheme="minorEastAsia" w:hAnsiTheme="minorEastAsia" w:eastAsiaTheme="minorEastAsia"/>
        </w:rPr>
        <w:t>不需要精确的调整</w:t>
      </w:r>
      <w:r>
        <w:rPr>
          <w:rFonts w:hint="eastAsia" w:asciiTheme="minorEastAsia" w:hAnsiTheme="minorEastAsia" w:eastAsiaTheme="minorEastAsia"/>
        </w:rPr>
        <w:t>；</w:t>
      </w:r>
      <w:r>
        <w:rPr>
          <w:rFonts w:asciiTheme="minorEastAsia" w:hAnsiTheme="minorEastAsia" w:eastAsiaTheme="minorEastAsia"/>
        </w:rPr>
        <w:t xml:space="preserve"> </w:t>
      </w:r>
    </w:p>
    <w:p>
      <w:pPr>
        <w:pStyle w:val="51"/>
        <w:numPr>
          <w:ilvl w:val="0"/>
          <w:numId w:val="23"/>
        </w:numPr>
        <w:spacing w:before="0" w:beforeLines="0" w:after="0" w:afterLines="0"/>
        <w:jc w:val="both"/>
        <w:rPr>
          <w:rFonts w:asciiTheme="minorEastAsia" w:hAnsiTheme="minorEastAsia" w:eastAsiaTheme="minorEastAsia"/>
        </w:rPr>
      </w:pPr>
      <w:r>
        <w:rPr>
          <w:rFonts w:asciiTheme="minorEastAsia" w:hAnsiTheme="minorEastAsia" w:eastAsiaTheme="minorEastAsia"/>
        </w:rPr>
        <w:t>与电池系统制造商协商确定可以施加的过电流（假设外部直流供电设备的故障）和最大电压（在正常范围内）。</w:t>
      </w:r>
    </w:p>
    <w:p>
      <w:pPr>
        <w:pStyle w:val="51"/>
        <w:spacing w:before="156" w:after="156"/>
        <w:ind w:left="2" w:hanging="2"/>
        <w:rPr>
          <w:rFonts w:eastAsia="宋体"/>
        </w:rPr>
      </w:pPr>
      <w:r>
        <w:rPr>
          <w:rFonts w:hint="eastAsia" w:eastAsia="宋体"/>
        </w:rPr>
        <w:t>按照电池系统制造商的资料进行过电流试验：</w:t>
      </w:r>
    </w:p>
    <w:p>
      <w:pPr>
        <w:pStyle w:val="147"/>
        <w:numPr>
          <w:ilvl w:val="0"/>
          <w:numId w:val="24"/>
        </w:numPr>
        <w:ind w:left="777" w:hanging="357"/>
        <w:jc w:val="both"/>
        <w:rPr>
          <w:rFonts w:ascii="Times New Roman" w:cs="Times New Roman"/>
          <w:sz w:val="21"/>
          <w:szCs w:val="21"/>
        </w:rPr>
      </w:pPr>
      <w:r>
        <w:rPr>
          <w:rFonts w:ascii="Times New Roman" w:cs="Times New Roman"/>
          <w:sz w:val="21"/>
          <w:szCs w:val="21"/>
        </w:rPr>
        <w:t>连接外部直流供电设备，改变或禁用充电控制通信，以允许通过与电池系统制造商协商确定的过电流水平</w:t>
      </w:r>
      <w:r>
        <w:rPr>
          <w:rFonts w:hint="eastAsia" w:ascii="Times New Roman" w:cs="Times New Roman"/>
          <w:sz w:val="21"/>
          <w:szCs w:val="21"/>
        </w:rPr>
        <w:t>；</w:t>
      </w:r>
    </w:p>
    <w:p>
      <w:pPr>
        <w:pStyle w:val="147"/>
        <w:numPr>
          <w:ilvl w:val="0"/>
          <w:numId w:val="24"/>
        </w:numPr>
        <w:ind w:left="777" w:hanging="357"/>
        <w:jc w:val="both"/>
        <w:rPr>
          <w:rFonts w:ascii="Times New Roman" w:cs="Times New Roman"/>
          <w:sz w:val="21"/>
          <w:szCs w:val="21"/>
        </w:rPr>
      </w:pPr>
      <w:r>
        <w:rPr>
          <w:rFonts w:ascii="Times New Roman" w:cs="Times New Roman"/>
          <w:sz w:val="21"/>
          <w:szCs w:val="21"/>
        </w:rPr>
        <w:t>启动外部直流供电设备，对电池系统进行充电，以达到电池系统制造商规定的最高正常充电电流。然后，将电流在5 s内从最高正常充电电流增加到8.2.12.</w:t>
      </w:r>
      <w:r>
        <w:rPr>
          <w:rFonts w:hint="eastAsia" w:ascii="Times New Roman" w:cs="Times New Roman"/>
          <w:sz w:val="21"/>
          <w:szCs w:val="21"/>
        </w:rPr>
        <w:t>3中</w:t>
      </w:r>
      <w:r>
        <w:rPr>
          <w:rFonts w:ascii="Times New Roman" w:cs="Times New Roman"/>
          <w:sz w:val="21"/>
          <w:szCs w:val="21"/>
        </w:rPr>
        <w:t>c）所述的过电流水平，并继续进行充电。</w:t>
      </w:r>
    </w:p>
    <w:p>
      <w:pPr>
        <w:pStyle w:val="51"/>
        <w:spacing w:before="156" w:after="156"/>
        <w:ind w:left="2" w:hanging="2"/>
        <w:rPr>
          <w:rFonts w:ascii="Times New Roman" w:eastAsia="宋体"/>
          <w:szCs w:val="20"/>
        </w:rPr>
      </w:pPr>
      <w:r>
        <w:rPr>
          <w:rFonts w:hint="eastAsia" w:ascii="Times New Roman" w:eastAsia="宋体"/>
          <w:szCs w:val="20"/>
        </w:rPr>
        <w:t>当符合以下任一条件时，结束试验：</w:t>
      </w:r>
    </w:p>
    <w:p>
      <w:pPr>
        <w:pStyle w:val="147"/>
        <w:numPr>
          <w:ilvl w:val="0"/>
          <w:numId w:val="25"/>
        </w:numPr>
        <w:rPr>
          <w:rFonts w:ascii="Times New Roman" w:cs="Times New Roman"/>
          <w:sz w:val="21"/>
          <w:szCs w:val="21"/>
        </w:rPr>
      </w:pPr>
      <w:r>
        <w:rPr>
          <w:rFonts w:ascii="Times New Roman" w:cs="Times New Roman"/>
          <w:sz w:val="21"/>
          <w:szCs w:val="21"/>
        </w:rPr>
        <w:t>试验对象自动终止充电电流</w:t>
      </w:r>
      <w:r>
        <w:rPr>
          <w:rFonts w:hint="eastAsia" w:ascii="Times New Roman" w:cs="Times New Roman"/>
          <w:sz w:val="21"/>
          <w:szCs w:val="21"/>
        </w:rPr>
        <w:t>；</w:t>
      </w:r>
    </w:p>
    <w:p>
      <w:pPr>
        <w:pStyle w:val="147"/>
        <w:numPr>
          <w:ilvl w:val="0"/>
          <w:numId w:val="25"/>
        </w:numPr>
        <w:rPr>
          <w:rFonts w:ascii="Times New Roman" w:cs="Times New Roman"/>
          <w:sz w:val="21"/>
          <w:szCs w:val="21"/>
        </w:rPr>
      </w:pPr>
      <w:r>
        <w:rPr>
          <w:rFonts w:ascii="Times New Roman" w:cs="Times New Roman"/>
          <w:sz w:val="21"/>
          <w:szCs w:val="21"/>
        </w:rPr>
        <w:t>试验对象发出终止充电电流的信号</w:t>
      </w:r>
      <w:r>
        <w:rPr>
          <w:rFonts w:hint="eastAsia" w:ascii="Times New Roman" w:cs="Times New Roman"/>
          <w:sz w:val="21"/>
          <w:szCs w:val="21"/>
        </w:rPr>
        <w:t>；</w:t>
      </w:r>
    </w:p>
    <w:p>
      <w:pPr>
        <w:pStyle w:val="147"/>
        <w:numPr>
          <w:ilvl w:val="0"/>
          <w:numId w:val="25"/>
        </w:numPr>
        <w:rPr>
          <w:rFonts w:ascii="Times New Roman" w:cs="Times New Roman"/>
          <w:sz w:val="21"/>
          <w:szCs w:val="21"/>
        </w:rPr>
      </w:pPr>
      <w:r>
        <w:rPr>
          <w:rFonts w:ascii="Times New Roman" w:cs="Times New Roman"/>
          <w:sz w:val="21"/>
          <w:szCs w:val="21"/>
        </w:rPr>
        <w:t>试验对象的温度稳定，温度</w:t>
      </w:r>
      <w:r>
        <w:rPr>
          <w:rFonts w:hint="eastAsia" w:ascii="Times New Roman" w:cs="Times New Roman"/>
          <w:sz w:val="21"/>
          <w:szCs w:val="21"/>
        </w:rPr>
        <w:t>变化</w:t>
      </w:r>
      <w:r>
        <w:rPr>
          <w:rFonts w:ascii="Times New Roman" w:cs="Times New Roman"/>
          <w:sz w:val="21"/>
          <w:szCs w:val="21"/>
        </w:rPr>
        <w:t>在2 h内小于4 ℃。</w:t>
      </w:r>
    </w:p>
    <w:p>
      <w:pPr>
        <w:pStyle w:val="51"/>
        <w:spacing w:before="156" w:after="156"/>
        <w:ind w:left="2" w:hanging="2"/>
        <w:rPr>
          <w:rFonts w:ascii="Times New Roman" w:eastAsia="宋体"/>
          <w:szCs w:val="20"/>
        </w:rPr>
      </w:pPr>
      <w:r>
        <w:rPr>
          <w:rFonts w:hint="eastAsia" w:ascii="Times New Roman" w:eastAsia="宋体"/>
          <w:szCs w:val="20"/>
        </w:rPr>
        <w:t>完成以上</w:t>
      </w:r>
      <w:r>
        <w:rPr>
          <w:rFonts w:ascii="Times New Roman" w:eastAsia="宋体"/>
          <w:szCs w:val="20"/>
        </w:rPr>
        <w:t>试验步骤后，在试验</w:t>
      </w:r>
      <w:r>
        <w:rPr>
          <w:rFonts w:hint="eastAsia" w:ascii="Times New Roman" w:eastAsia="宋体"/>
          <w:szCs w:val="20"/>
        </w:rPr>
        <w:t>环境</w:t>
      </w:r>
      <w:r>
        <w:rPr>
          <w:rFonts w:ascii="Times New Roman" w:eastAsia="宋体"/>
          <w:szCs w:val="20"/>
        </w:rPr>
        <w:t>温度下观察1 h。</w:t>
      </w:r>
    </w:p>
    <w:p>
      <w:pPr>
        <w:pStyle w:val="46"/>
        <w:spacing w:before="156" w:after="156"/>
        <w:ind w:left="2"/>
        <w:outlineLvl w:val="2"/>
        <w:rPr>
          <w:rFonts w:hAnsi="黑体"/>
        </w:rPr>
      </w:pPr>
      <w:bookmarkStart w:id="1212" w:name="_Toc468729600"/>
      <w:bookmarkStart w:id="1213" w:name="_Toc513234370"/>
      <w:bookmarkStart w:id="1214" w:name="_Toc504059455"/>
      <w:bookmarkStart w:id="1215" w:name="_Toc513232554"/>
      <w:bookmarkStart w:id="1216" w:name="_Toc450683025"/>
      <w:r>
        <w:rPr>
          <w:rFonts w:hint="eastAsia" w:hAnsi="黑体"/>
        </w:rPr>
        <w:t>外部短路保护</w:t>
      </w:r>
      <w:bookmarkEnd w:id="1212"/>
      <w:bookmarkEnd w:id="1213"/>
      <w:bookmarkEnd w:id="1214"/>
      <w:bookmarkEnd w:id="1215"/>
      <w:bookmarkEnd w:id="1216"/>
    </w:p>
    <w:p>
      <w:pPr>
        <w:pStyle w:val="51"/>
        <w:spacing w:before="156" w:after="156"/>
        <w:ind w:left="2" w:hanging="2"/>
        <w:rPr>
          <w:rFonts w:eastAsia="宋体"/>
        </w:rPr>
      </w:pPr>
      <w:r>
        <w:rPr>
          <w:rFonts w:hint="eastAsia" w:eastAsia="宋体"/>
        </w:rPr>
        <w:t>试验对象为电池系统。</w:t>
      </w:r>
    </w:p>
    <w:p>
      <w:pPr>
        <w:pStyle w:val="51"/>
        <w:spacing w:before="156" w:after="156"/>
        <w:ind w:left="2" w:hanging="2"/>
        <w:rPr>
          <w:rFonts w:eastAsia="宋体"/>
        </w:rPr>
      </w:pPr>
      <w:r>
        <w:rPr>
          <w:rFonts w:hint="eastAsia" w:eastAsia="宋体"/>
        </w:rPr>
        <w:t>试验条件如下：</w:t>
      </w:r>
    </w:p>
    <w:p>
      <w:pPr>
        <w:pStyle w:val="23"/>
        <w:numPr>
          <w:ilvl w:val="0"/>
          <w:numId w:val="26"/>
        </w:numPr>
        <w:ind w:leftChars="200" w:hangingChars="200"/>
        <w:rPr>
          <w:rFonts w:ascii="Times New Roman"/>
          <w:szCs w:val="21"/>
        </w:rPr>
      </w:pPr>
      <w:r>
        <w:rPr>
          <w:rFonts w:ascii="Times New Roman"/>
          <w:szCs w:val="21"/>
        </w:rPr>
        <w:t xml:space="preserve">试验应在20 </w:t>
      </w:r>
      <w:r>
        <w:rPr>
          <w:rFonts w:hint="eastAsia" w:ascii="Times New Roman"/>
          <w:szCs w:val="21"/>
        </w:rPr>
        <w:t>℃</w:t>
      </w:r>
      <w:r>
        <w:rPr>
          <w:rFonts w:ascii="Times New Roman"/>
          <w:szCs w:val="21"/>
        </w:rPr>
        <w:t xml:space="preserve">±10 </w:t>
      </w:r>
      <w:r>
        <w:rPr>
          <w:rFonts w:hint="eastAsia" w:ascii="Times New Roman"/>
          <w:szCs w:val="21"/>
        </w:rPr>
        <w:t>℃</w:t>
      </w:r>
      <w:r>
        <w:rPr>
          <w:rFonts w:ascii="Times New Roman"/>
          <w:szCs w:val="21"/>
        </w:rPr>
        <w:t>的环境温度或更高温度（如果电池系统制造商要求）下进行</w:t>
      </w:r>
      <w:r>
        <w:rPr>
          <w:rFonts w:hint="eastAsia" w:ascii="Times New Roman"/>
          <w:szCs w:val="21"/>
        </w:rPr>
        <w:t>；</w:t>
      </w:r>
    </w:p>
    <w:p>
      <w:pPr>
        <w:pStyle w:val="23"/>
        <w:numPr>
          <w:ilvl w:val="0"/>
          <w:numId w:val="26"/>
        </w:numPr>
        <w:ind w:leftChars="200" w:hangingChars="200"/>
        <w:rPr>
          <w:rFonts w:ascii="Times New Roman"/>
          <w:szCs w:val="21"/>
        </w:rPr>
      </w:pPr>
      <w:r>
        <w:rPr>
          <w:rFonts w:ascii="Times New Roman"/>
          <w:szCs w:val="21"/>
        </w:rPr>
        <w:t>在试验开始时，影响</w:t>
      </w:r>
      <w:r>
        <w:rPr>
          <w:rFonts w:hint="eastAsia" w:ascii="Times New Roman"/>
          <w:szCs w:val="21"/>
        </w:rPr>
        <w:t>试验</w:t>
      </w:r>
      <w:r>
        <w:rPr>
          <w:rFonts w:ascii="Times New Roman"/>
          <w:szCs w:val="21"/>
        </w:rPr>
        <w:t>对象功能并与试验结果相关的所有保护设备都应处于正常运行状态。</w:t>
      </w:r>
    </w:p>
    <w:p>
      <w:pPr>
        <w:pStyle w:val="51"/>
        <w:spacing w:before="156" w:after="156"/>
        <w:ind w:left="2" w:hanging="2"/>
        <w:rPr>
          <w:rFonts w:eastAsia="宋体"/>
        </w:rPr>
      </w:pPr>
      <w:r>
        <w:rPr>
          <w:rFonts w:hint="eastAsia" w:eastAsia="宋体"/>
        </w:rPr>
        <w:t>外部短路过程如下：</w:t>
      </w:r>
    </w:p>
    <w:p>
      <w:pPr>
        <w:pStyle w:val="147"/>
        <w:ind w:left="720" w:hanging="360"/>
        <w:rPr>
          <w:rFonts w:ascii="Times New Roman" w:cs="Times New Roman"/>
          <w:sz w:val="21"/>
          <w:szCs w:val="21"/>
        </w:rPr>
      </w:pPr>
      <w:r>
        <w:rPr>
          <w:rFonts w:hint="eastAsia" w:ascii="Times New Roman" w:cs="Times New Roman"/>
          <w:sz w:val="21"/>
          <w:szCs w:val="21"/>
        </w:rPr>
        <w:t>a）在开始试验时，用于充电和放电的相关主要接触器都应闭合（如</w:t>
      </w:r>
      <w:r>
        <w:rPr>
          <w:rFonts w:ascii="Times New Roman" w:cs="Times New Roman"/>
          <w:sz w:val="21"/>
          <w:szCs w:val="21"/>
        </w:rPr>
        <w:t>电池系统回路中包含相关继电器）</w:t>
      </w:r>
      <w:r>
        <w:rPr>
          <w:rFonts w:hint="eastAsia" w:ascii="Times New Roman" w:cs="Times New Roman"/>
          <w:sz w:val="21"/>
          <w:szCs w:val="21"/>
        </w:rPr>
        <w:t>，来表示可行车模式以及允许外部充电的模式。如果这不能在单次试验中完成，则应进行两次或更多次试验；</w:t>
      </w:r>
    </w:p>
    <w:p>
      <w:pPr>
        <w:pStyle w:val="147"/>
        <w:ind w:left="780" w:hanging="420"/>
        <w:rPr>
          <w:rFonts w:ascii="Times New Roman" w:cs="Times New Roman"/>
          <w:sz w:val="21"/>
          <w:szCs w:val="21"/>
        </w:rPr>
      </w:pPr>
      <w:r>
        <w:rPr>
          <w:rFonts w:hint="eastAsia" w:ascii="Times New Roman" w:cs="Times New Roman"/>
          <w:sz w:val="21"/>
          <w:szCs w:val="21"/>
        </w:rPr>
        <w:t xml:space="preserve">b) </w:t>
      </w:r>
      <w:r>
        <w:rPr>
          <w:rFonts w:ascii="Times New Roman" w:cs="Times New Roman"/>
          <w:sz w:val="21"/>
          <w:szCs w:val="21"/>
        </w:rPr>
        <w:t>将</w:t>
      </w:r>
      <w:r>
        <w:rPr>
          <w:rFonts w:hint="eastAsia" w:ascii="Times New Roman" w:cs="Times New Roman"/>
          <w:sz w:val="21"/>
          <w:szCs w:val="21"/>
        </w:rPr>
        <w:t>试验</w:t>
      </w:r>
      <w:r>
        <w:rPr>
          <w:rFonts w:ascii="Times New Roman" w:cs="Times New Roman"/>
          <w:sz w:val="21"/>
          <w:szCs w:val="21"/>
        </w:rPr>
        <w:t>对象的正极端子和负极端子相互连接。</w:t>
      </w:r>
      <w:r>
        <w:rPr>
          <w:rFonts w:hint="eastAsia" w:ascii="Times New Roman" w:cs="Times New Roman"/>
          <w:sz w:val="21"/>
          <w:szCs w:val="21"/>
        </w:rPr>
        <w:t>短路电阻</w:t>
      </w:r>
      <w:r>
        <w:rPr>
          <w:rFonts w:ascii="Times New Roman" w:cs="Times New Roman"/>
          <w:sz w:val="21"/>
          <w:szCs w:val="21"/>
        </w:rPr>
        <w:t>不超过5 mΩ。</w:t>
      </w:r>
    </w:p>
    <w:p>
      <w:pPr>
        <w:pStyle w:val="51"/>
        <w:spacing w:before="156" w:after="156"/>
        <w:ind w:left="2" w:hanging="2"/>
        <w:rPr>
          <w:rFonts w:ascii="宋体" w:eastAsia="宋体" w:cs="宋体"/>
        </w:rPr>
      </w:pPr>
      <w:r>
        <w:rPr>
          <w:rFonts w:hint="eastAsia" w:ascii="宋体" w:eastAsia="宋体" w:cs="宋体"/>
        </w:rPr>
        <w:t>保持短路状态，直至符合以下任一条件时，结束试验：</w:t>
      </w:r>
    </w:p>
    <w:p>
      <w:pPr>
        <w:pStyle w:val="23"/>
        <w:numPr>
          <w:ilvl w:val="0"/>
          <w:numId w:val="27"/>
        </w:numPr>
        <w:ind w:firstLineChars="0"/>
        <w:rPr>
          <w:rFonts w:ascii="Times New Roman"/>
        </w:rPr>
      </w:pPr>
      <w:r>
        <w:rPr>
          <w:rFonts w:hint="eastAsia" w:ascii="Times New Roman"/>
          <w:szCs w:val="21"/>
        </w:rPr>
        <w:t>试验</w:t>
      </w:r>
      <w:r>
        <w:rPr>
          <w:rFonts w:ascii="Times New Roman"/>
          <w:szCs w:val="21"/>
        </w:rPr>
        <w:t>对象的保护功能起作用，并终止短路电流</w:t>
      </w:r>
      <w:r>
        <w:rPr>
          <w:rFonts w:hint="eastAsia" w:ascii="Times New Roman"/>
          <w:szCs w:val="21"/>
        </w:rPr>
        <w:t>；</w:t>
      </w:r>
    </w:p>
    <w:p>
      <w:pPr>
        <w:pStyle w:val="147"/>
        <w:numPr>
          <w:ilvl w:val="0"/>
          <w:numId w:val="27"/>
        </w:numPr>
        <w:rPr>
          <w:rFonts w:ascii="Times New Roman" w:cs="Times New Roman"/>
          <w:sz w:val="21"/>
          <w:szCs w:val="21"/>
        </w:rPr>
      </w:pPr>
      <w:r>
        <w:rPr>
          <w:rFonts w:hint="eastAsia" w:ascii="Times New Roman" w:cs="Times New Roman"/>
          <w:sz w:val="21"/>
          <w:szCs w:val="21"/>
        </w:rPr>
        <w:t>试验</w:t>
      </w:r>
      <w:r>
        <w:rPr>
          <w:rFonts w:ascii="Times New Roman" w:cs="Times New Roman"/>
          <w:sz w:val="21"/>
          <w:szCs w:val="21"/>
        </w:rPr>
        <w:t>对象外壳温度稳定（温度</w:t>
      </w:r>
      <w:r>
        <w:rPr>
          <w:rFonts w:hint="eastAsia" w:ascii="Times New Roman" w:cs="Times New Roman"/>
          <w:sz w:val="21"/>
          <w:szCs w:val="21"/>
        </w:rPr>
        <w:t>变化</w:t>
      </w:r>
      <w:r>
        <w:rPr>
          <w:rFonts w:ascii="Times New Roman" w:cs="Times New Roman"/>
          <w:sz w:val="21"/>
          <w:szCs w:val="21"/>
        </w:rPr>
        <w:t xml:space="preserve">在2 h内小于4 </w:t>
      </w:r>
      <w:r>
        <w:rPr>
          <w:rFonts w:hint="eastAsia" w:hAnsi="宋体"/>
          <w:sz w:val="21"/>
          <w:szCs w:val="21"/>
        </w:rPr>
        <w:t>℃</w:t>
      </w:r>
      <w:r>
        <w:rPr>
          <w:rFonts w:ascii="Times New Roman" w:cs="Times New Roman"/>
          <w:sz w:val="21"/>
          <w:szCs w:val="21"/>
        </w:rPr>
        <w:t>）后，继续短路至少1 h。</w:t>
      </w:r>
    </w:p>
    <w:p>
      <w:pPr>
        <w:pStyle w:val="51"/>
        <w:spacing w:before="156" w:after="156"/>
        <w:ind w:left="2" w:hanging="2"/>
        <w:rPr>
          <w:rFonts w:ascii="Times New Roman" w:eastAsia="宋体"/>
        </w:rPr>
      </w:pPr>
      <w:r>
        <w:rPr>
          <w:rFonts w:hint="eastAsia" w:ascii="Times New Roman" w:eastAsia="宋体"/>
          <w:szCs w:val="20"/>
        </w:rPr>
        <w:t>完成以上</w:t>
      </w:r>
      <w:r>
        <w:rPr>
          <w:rFonts w:ascii="Times New Roman" w:eastAsia="宋体"/>
          <w:szCs w:val="20"/>
        </w:rPr>
        <w:t>试验步骤后</w:t>
      </w:r>
      <w:r>
        <w:rPr>
          <w:rFonts w:ascii="Times New Roman" w:eastAsia="宋体"/>
        </w:rPr>
        <w:t>，在试验</w:t>
      </w:r>
      <w:r>
        <w:rPr>
          <w:rFonts w:hint="eastAsia" w:ascii="Times New Roman" w:eastAsia="宋体"/>
        </w:rPr>
        <w:t>环境</w:t>
      </w:r>
      <w:r>
        <w:rPr>
          <w:rFonts w:ascii="Times New Roman" w:eastAsia="宋体"/>
        </w:rPr>
        <w:t>温度下观察1 h。</w:t>
      </w:r>
    </w:p>
    <w:p>
      <w:pPr>
        <w:pStyle w:val="46"/>
        <w:spacing w:before="156" w:after="156"/>
        <w:ind w:left="2"/>
        <w:outlineLvl w:val="2"/>
        <w:rPr>
          <w:rFonts w:hAnsi="黑体"/>
        </w:rPr>
      </w:pPr>
      <w:bookmarkStart w:id="1217" w:name="_Toc513234371"/>
      <w:bookmarkStart w:id="1218" w:name="_Toc504059456"/>
      <w:bookmarkStart w:id="1219" w:name="_Toc513232555"/>
      <w:r>
        <w:rPr>
          <w:rFonts w:hint="eastAsia" w:hAnsi="黑体"/>
        </w:rPr>
        <w:t>过充电保护</w:t>
      </w:r>
      <w:bookmarkEnd w:id="1217"/>
      <w:bookmarkEnd w:id="1218"/>
      <w:bookmarkEnd w:id="1219"/>
    </w:p>
    <w:p>
      <w:pPr>
        <w:pStyle w:val="51"/>
        <w:spacing w:before="156" w:after="156"/>
        <w:ind w:left="2" w:hanging="2"/>
        <w:jc w:val="both"/>
        <w:rPr>
          <w:rFonts w:ascii="宋体" w:eastAsia="宋体" w:cs="宋体"/>
        </w:rPr>
      </w:pPr>
      <w:r>
        <w:rPr>
          <w:rFonts w:hint="eastAsia" w:ascii="宋体" w:eastAsia="宋体" w:cs="宋体"/>
        </w:rPr>
        <w:t>试验对象为电池系统。</w:t>
      </w:r>
    </w:p>
    <w:p>
      <w:pPr>
        <w:pStyle w:val="51"/>
        <w:spacing w:before="156" w:after="156"/>
        <w:ind w:left="2" w:hanging="2"/>
        <w:jc w:val="both"/>
      </w:pPr>
      <w:r>
        <w:rPr>
          <w:rFonts w:hint="eastAsia" w:ascii="Times New Roman" w:eastAsia="宋体"/>
          <w:szCs w:val="20"/>
        </w:rPr>
        <w:t>为保护试验操作人员和实验室安全，制造商应提供试验上限参数作为异常终止条件。</w:t>
      </w:r>
    </w:p>
    <w:p>
      <w:pPr>
        <w:pStyle w:val="51"/>
        <w:spacing w:before="156" w:after="156"/>
        <w:ind w:left="2" w:hanging="2"/>
        <w:jc w:val="both"/>
        <w:rPr>
          <w:rFonts w:ascii="宋体" w:eastAsia="宋体" w:cs="宋体"/>
        </w:rPr>
      </w:pPr>
      <w:r>
        <w:rPr>
          <w:rFonts w:hint="eastAsia" w:ascii="宋体" w:eastAsia="宋体" w:cs="宋体"/>
        </w:rPr>
        <w:t>试验条件如下：</w:t>
      </w:r>
    </w:p>
    <w:p>
      <w:pPr>
        <w:pStyle w:val="144"/>
        <w:numPr>
          <w:ilvl w:val="0"/>
          <w:numId w:val="28"/>
        </w:numPr>
        <w:ind w:leftChars="200" w:hangingChars="200"/>
        <w:rPr>
          <w:rFonts w:ascii="Times New Roman" w:hAnsi="Times New Roman" w:cs="Times New Roman"/>
          <w:szCs w:val="20"/>
        </w:rPr>
      </w:pPr>
      <w:r>
        <w:rPr>
          <w:rFonts w:ascii="Times New Roman" w:hAnsi="Times New Roman" w:cs="Times New Roman"/>
        </w:rPr>
        <w:t xml:space="preserve">试验应在20 </w:t>
      </w:r>
      <w:r>
        <w:rPr>
          <w:rFonts w:hint="eastAsia" w:ascii="宋体" w:hAnsi="宋体" w:cs="宋体"/>
          <w:lang w:eastAsia="ja-JP"/>
        </w:rPr>
        <w:t>℃</w:t>
      </w:r>
      <w:r>
        <w:rPr>
          <w:rFonts w:ascii="Times New Roman" w:hAnsi="Times New Roman" w:cs="Times New Roman"/>
        </w:rPr>
        <w:t xml:space="preserve">±10 </w:t>
      </w:r>
      <w:r>
        <w:rPr>
          <w:rFonts w:hint="eastAsia" w:ascii="宋体" w:hAnsi="宋体" w:cs="宋体"/>
        </w:rPr>
        <w:t>℃</w:t>
      </w:r>
      <w:r>
        <w:rPr>
          <w:rFonts w:ascii="Times New Roman" w:hAnsi="Times New Roman" w:cs="Times New Roman"/>
        </w:rPr>
        <w:t>的环境温度或更高温度（如果电池系统制造商要求）下进行</w:t>
      </w:r>
      <w:r>
        <w:rPr>
          <w:rFonts w:hint="eastAsia" w:ascii="Times New Roman" w:hAnsi="Times New Roman" w:cs="Times New Roman"/>
        </w:rPr>
        <w:t>；</w:t>
      </w:r>
    </w:p>
    <w:p>
      <w:pPr>
        <w:pStyle w:val="147"/>
        <w:numPr>
          <w:ilvl w:val="0"/>
          <w:numId w:val="28"/>
        </w:numPr>
        <w:ind w:leftChars="200" w:hangingChars="200"/>
        <w:jc w:val="both"/>
        <w:rPr>
          <w:rFonts w:ascii="Times New Roman" w:cs="Times New Roman"/>
          <w:sz w:val="21"/>
          <w:szCs w:val="21"/>
        </w:rPr>
      </w:pPr>
      <w:r>
        <w:rPr>
          <w:rFonts w:ascii="Times New Roman" w:cs="Times New Roman"/>
          <w:sz w:val="21"/>
          <w:szCs w:val="21"/>
        </w:rPr>
        <w:t>按照电池系统制造商推荐的正常操作（如使用外部</w:t>
      </w:r>
      <w:r>
        <w:rPr>
          <w:rFonts w:hint="eastAsia" w:ascii="Times New Roman" w:cs="Times New Roman"/>
          <w:sz w:val="21"/>
          <w:szCs w:val="21"/>
        </w:rPr>
        <w:t>充放电设备</w:t>
      </w:r>
      <w:r>
        <w:rPr>
          <w:rFonts w:ascii="Times New Roman" w:cs="Times New Roman"/>
          <w:sz w:val="21"/>
          <w:szCs w:val="21"/>
        </w:rPr>
        <w:t>），调整试验对象的SOC到正常工作范围的</w:t>
      </w:r>
      <w:r>
        <w:rPr>
          <w:rFonts w:hint="eastAsia" w:ascii="Times New Roman" w:cs="Times New Roman"/>
          <w:sz w:val="21"/>
          <w:szCs w:val="21"/>
        </w:rPr>
        <w:t>中间部分</w:t>
      </w:r>
      <w:r>
        <w:rPr>
          <w:rFonts w:ascii="Times New Roman" w:cs="Times New Roman"/>
          <w:sz w:val="21"/>
          <w:szCs w:val="21"/>
        </w:rPr>
        <w:t>。只要</w:t>
      </w:r>
      <w:r>
        <w:rPr>
          <w:rFonts w:hint="eastAsia" w:ascii="Times New Roman" w:cs="Times New Roman"/>
          <w:sz w:val="21"/>
          <w:szCs w:val="21"/>
        </w:rPr>
        <w:t>试验</w:t>
      </w:r>
      <w:r>
        <w:rPr>
          <w:rFonts w:ascii="Times New Roman" w:cs="Times New Roman"/>
          <w:sz w:val="21"/>
          <w:szCs w:val="21"/>
        </w:rPr>
        <w:t>对象能够正常运行，</w:t>
      </w:r>
      <w:r>
        <w:rPr>
          <w:rFonts w:hint="eastAsia" w:ascii="Times New Roman" w:cs="Times New Roman"/>
          <w:sz w:val="21"/>
          <w:szCs w:val="21"/>
        </w:rPr>
        <w:t>可</w:t>
      </w:r>
      <w:r>
        <w:rPr>
          <w:rFonts w:ascii="Times New Roman" w:cs="Times New Roman"/>
          <w:sz w:val="21"/>
          <w:szCs w:val="21"/>
        </w:rPr>
        <w:t>不需要精确的调整</w:t>
      </w:r>
      <w:r>
        <w:rPr>
          <w:rFonts w:hint="eastAsia" w:ascii="Times New Roman" w:cs="Times New Roman"/>
          <w:sz w:val="21"/>
          <w:szCs w:val="21"/>
        </w:rPr>
        <w:t>；</w:t>
      </w:r>
    </w:p>
    <w:p>
      <w:pPr>
        <w:pStyle w:val="144"/>
        <w:numPr>
          <w:ilvl w:val="0"/>
          <w:numId w:val="28"/>
        </w:numPr>
        <w:ind w:leftChars="200" w:hangingChars="200"/>
        <w:rPr>
          <w:rFonts w:ascii="Times New Roman" w:hAnsi="Times New Roman" w:cs="Times New Roman"/>
        </w:rPr>
      </w:pPr>
      <w:r>
        <w:rPr>
          <w:rFonts w:ascii="Times New Roman" w:hAnsi="Times New Roman" w:cs="Times New Roman"/>
        </w:rPr>
        <w:t>在试验开始时，影响试验对象功能并与试验结果相关的所有保护设备都应处于正常运行状态。用于充电的所有相关的主要接触器都应闭合</w:t>
      </w:r>
      <w:r>
        <w:rPr>
          <w:rFonts w:hint="eastAsia"/>
        </w:rPr>
        <w:t>（如</w:t>
      </w:r>
      <w:r>
        <w:t>电池系统回路中包含相关继电器）</w:t>
      </w:r>
      <w:r>
        <w:rPr>
          <w:rFonts w:ascii="Times New Roman" w:hAnsi="Times New Roman" w:cs="Times New Roman"/>
        </w:rPr>
        <w:t>。</w:t>
      </w:r>
    </w:p>
    <w:p>
      <w:pPr>
        <w:pStyle w:val="51"/>
        <w:spacing w:before="156" w:after="156"/>
        <w:ind w:left="2" w:hanging="2"/>
        <w:jc w:val="both"/>
        <w:rPr>
          <w:rFonts w:ascii="宋体" w:eastAsia="宋体" w:cs="宋体" w:hAnsiTheme="minorHAnsi"/>
          <w:kern w:val="2"/>
        </w:rPr>
      </w:pPr>
      <w:r>
        <w:rPr>
          <w:rFonts w:hint="eastAsia" w:ascii="宋体" w:eastAsia="宋体" w:cs="宋体"/>
        </w:rPr>
        <w:t>充电过程如下：</w:t>
      </w:r>
      <w:r>
        <w:rPr>
          <w:rFonts w:ascii="宋体" w:eastAsia="宋体" w:cs="宋体" w:hAnsiTheme="minorHAnsi"/>
          <w:kern w:val="2"/>
        </w:rPr>
        <w:t xml:space="preserve"> </w:t>
      </w:r>
    </w:p>
    <w:p>
      <w:pPr>
        <w:pStyle w:val="51"/>
        <w:numPr>
          <w:ilvl w:val="0"/>
          <w:numId w:val="29"/>
        </w:numPr>
        <w:spacing w:before="0" w:beforeLines="0" w:after="0" w:afterLines="0"/>
        <w:ind w:leftChars="200" w:hangingChars="200"/>
        <w:jc w:val="both"/>
        <w:rPr>
          <w:rFonts w:ascii="Times New Roman"/>
        </w:rPr>
      </w:pPr>
      <w:r>
        <w:rPr>
          <w:rFonts w:ascii="Times New Roman" w:eastAsia="宋体"/>
        </w:rPr>
        <w:t>外部充电设备应连接到</w:t>
      </w:r>
      <w:r>
        <w:rPr>
          <w:rFonts w:hint="eastAsia" w:ascii="Times New Roman" w:eastAsia="宋体"/>
        </w:rPr>
        <w:t>试验</w:t>
      </w:r>
      <w:r>
        <w:rPr>
          <w:rFonts w:ascii="Times New Roman" w:eastAsia="宋体"/>
        </w:rPr>
        <w:t>对象的主端子。外部充电设备的充电控制限制应禁用</w:t>
      </w:r>
      <w:r>
        <w:rPr>
          <w:rFonts w:hint="eastAsia" w:ascii="Times New Roman" w:eastAsia="宋体"/>
        </w:rPr>
        <w:t>；</w:t>
      </w:r>
    </w:p>
    <w:p>
      <w:pPr>
        <w:pStyle w:val="144"/>
        <w:numPr>
          <w:ilvl w:val="0"/>
          <w:numId w:val="29"/>
        </w:numPr>
        <w:autoSpaceDE w:val="0"/>
        <w:autoSpaceDN w:val="0"/>
        <w:adjustRightInd w:val="0"/>
        <w:ind w:leftChars="200" w:hangingChars="200"/>
        <w:rPr>
          <w:rFonts w:ascii="Times New Roman" w:hAnsi="Times New Roman" w:cs="Times New Roman"/>
          <w:color w:val="000000"/>
        </w:rPr>
      </w:pPr>
      <w:r>
        <w:rPr>
          <w:rFonts w:hint="eastAsia" w:ascii="Times New Roman" w:hAnsi="Times New Roman" w:cs="Times New Roman"/>
        </w:rPr>
        <w:t>试验</w:t>
      </w:r>
      <w:r>
        <w:rPr>
          <w:rFonts w:ascii="Times New Roman" w:hAnsi="Times New Roman" w:cs="Times New Roman"/>
        </w:rPr>
        <w:t>对象应由外部充电设备在电池系统制造商许可的用时最短的充电策略下进行充电</w:t>
      </w:r>
      <w:r>
        <w:rPr>
          <w:rFonts w:ascii="Times New Roman" w:hAnsi="Times New Roman" w:cs="Times New Roman"/>
          <w:color w:val="000000"/>
        </w:rPr>
        <w:t>。</w:t>
      </w:r>
    </w:p>
    <w:p>
      <w:pPr>
        <w:pStyle w:val="51"/>
        <w:spacing w:before="156" w:after="156"/>
        <w:ind w:left="2" w:hanging="2"/>
        <w:jc w:val="both"/>
        <w:rPr>
          <w:rFonts w:ascii="宋体" w:eastAsia="宋体" w:cs="宋体"/>
        </w:rPr>
      </w:pPr>
      <w:r>
        <w:rPr>
          <w:rFonts w:hint="eastAsia" w:ascii="宋体" w:eastAsia="宋体" w:cs="宋体"/>
        </w:rPr>
        <w:t>充电应持续进行，直至符合以下任一条件时，结束试验：</w:t>
      </w:r>
    </w:p>
    <w:p>
      <w:pPr>
        <w:pStyle w:val="51"/>
        <w:numPr>
          <w:ilvl w:val="0"/>
          <w:numId w:val="30"/>
        </w:numPr>
        <w:spacing w:before="0" w:beforeLines="0" w:after="0" w:afterLines="0"/>
        <w:ind w:leftChars="200" w:hangingChars="200"/>
        <w:jc w:val="both"/>
        <w:rPr>
          <w:rFonts w:ascii="Times New Roman" w:eastAsia="宋体"/>
        </w:rPr>
      </w:pPr>
      <w:r>
        <w:rPr>
          <w:rFonts w:hint="eastAsia" w:ascii="Times New Roman" w:eastAsia="宋体"/>
        </w:rPr>
        <w:t>试验</w:t>
      </w:r>
      <w:r>
        <w:rPr>
          <w:rFonts w:ascii="Times New Roman" w:eastAsia="宋体"/>
        </w:rPr>
        <w:t>对象自动终止充电电流</w:t>
      </w:r>
      <w:r>
        <w:rPr>
          <w:rFonts w:hint="eastAsia" w:ascii="Times New Roman" w:eastAsia="宋体"/>
        </w:rPr>
        <w:t>；</w:t>
      </w:r>
    </w:p>
    <w:p>
      <w:pPr>
        <w:pStyle w:val="51"/>
        <w:numPr>
          <w:ilvl w:val="0"/>
          <w:numId w:val="30"/>
        </w:numPr>
        <w:spacing w:before="0" w:beforeLines="0" w:after="0" w:afterLines="0"/>
        <w:ind w:leftChars="200" w:hangingChars="200"/>
        <w:jc w:val="both"/>
        <w:rPr>
          <w:rFonts w:ascii="Times New Roman" w:eastAsia="宋体"/>
        </w:rPr>
      </w:pPr>
      <w:r>
        <w:rPr>
          <w:rFonts w:hint="eastAsia" w:ascii="Times New Roman" w:eastAsia="宋体"/>
        </w:rPr>
        <w:t>试验</w:t>
      </w:r>
      <w:r>
        <w:rPr>
          <w:rFonts w:ascii="Times New Roman" w:eastAsia="宋体"/>
        </w:rPr>
        <w:t>对象发出终止充电电流的信号</w:t>
      </w:r>
      <w:r>
        <w:rPr>
          <w:rFonts w:hint="eastAsia" w:ascii="Times New Roman" w:eastAsia="宋体"/>
        </w:rPr>
        <w:t>；</w:t>
      </w:r>
    </w:p>
    <w:p>
      <w:pPr>
        <w:pStyle w:val="51"/>
        <w:numPr>
          <w:ilvl w:val="0"/>
          <w:numId w:val="30"/>
        </w:numPr>
        <w:spacing w:before="0" w:beforeLines="0" w:after="0" w:afterLines="0"/>
        <w:ind w:leftChars="200" w:hangingChars="200"/>
        <w:jc w:val="both"/>
        <w:rPr>
          <w:rFonts w:ascii="Times New Roman" w:eastAsia="宋体"/>
        </w:rPr>
      </w:pPr>
      <w:r>
        <w:rPr>
          <w:rFonts w:ascii="Times New Roman" w:eastAsia="宋体"/>
        </w:rPr>
        <w:t>当</w:t>
      </w:r>
      <w:r>
        <w:rPr>
          <w:rFonts w:hint="eastAsia" w:ascii="Times New Roman" w:eastAsia="宋体"/>
        </w:rPr>
        <w:t>试验</w:t>
      </w:r>
      <w:r>
        <w:rPr>
          <w:rFonts w:ascii="Times New Roman" w:eastAsia="宋体"/>
        </w:rPr>
        <w:t>对象的过充电保护控制未起作用，或者如果没有8.2.14.</w:t>
      </w:r>
      <w:r>
        <w:rPr>
          <w:rFonts w:hint="eastAsia" w:ascii="Times New Roman" w:eastAsia="宋体"/>
        </w:rPr>
        <w:t>5</w:t>
      </w:r>
      <w:r>
        <w:rPr>
          <w:rFonts w:ascii="Times New Roman" w:eastAsia="宋体"/>
        </w:rPr>
        <w:t xml:space="preserve"> </w:t>
      </w:r>
      <w:r>
        <w:rPr>
          <w:rFonts w:hint="eastAsia" w:ascii="Times New Roman" w:eastAsia="宋体"/>
        </w:rPr>
        <w:t>中</w:t>
      </w:r>
      <w:r>
        <w:rPr>
          <w:rFonts w:ascii="Times New Roman" w:eastAsia="宋体"/>
        </w:rPr>
        <w:t>a）所述的功能。继续充电，使得</w:t>
      </w:r>
      <w:r>
        <w:rPr>
          <w:rFonts w:hint="eastAsia" w:ascii="Times New Roman" w:eastAsia="宋体"/>
        </w:rPr>
        <w:t>试验</w:t>
      </w:r>
      <w:r>
        <w:rPr>
          <w:rFonts w:ascii="Times New Roman" w:eastAsia="宋体"/>
        </w:rPr>
        <w:t>对象温度超过电池系统制造商定义的最高工作温度</w:t>
      </w:r>
      <w:r>
        <w:rPr>
          <w:rFonts w:hint="eastAsia" w:ascii="Times New Roman" w:eastAsia="宋体"/>
        </w:rPr>
        <w:t>再加</w:t>
      </w:r>
      <w:r>
        <w:rPr>
          <w:rFonts w:ascii="Times New Roman" w:eastAsia="宋体"/>
        </w:rPr>
        <w:t xml:space="preserve">10 </w:t>
      </w:r>
      <w:r>
        <w:rPr>
          <w:rFonts w:hint="eastAsia" w:ascii="宋体" w:hAnsi="宋体" w:eastAsia="宋体" w:cs="宋体"/>
        </w:rPr>
        <w:t>℃的</w:t>
      </w:r>
      <w:r>
        <w:rPr>
          <w:rFonts w:ascii="宋体" w:hAnsi="宋体" w:eastAsia="宋体" w:cs="宋体"/>
        </w:rPr>
        <w:t>温度值</w:t>
      </w:r>
      <w:r>
        <w:rPr>
          <w:rFonts w:hint="eastAsia" w:ascii="Times New Roman" w:eastAsia="宋体"/>
        </w:rPr>
        <w:t>；</w:t>
      </w:r>
    </w:p>
    <w:p>
      <w:pPr>
        <w:pStyle w:val="51"/>
        <w:numPr>
          <w:ilvl w:val="0"/>
          <w:numId w:val="30"/>
        </w:numPr>
        <w:spacing w:before="0" w:beforeLines="0" w:after="0" w:afterLines="0"/>
        <w:ind w:leftChars="200" w:hangingChars="200"/>
        <w:jc w:val="both"/>
        <w:rPr>
          <w:rFonts w:ascii="Times New Roman" w:eastAsia="宋体"/>
        </w:rPr>
      </w:pPr>
      <w:r>
        <w:rPr>
          <w:rFonts w:ascii="Times New Roman" w:eastAsia="宋体"/>
        </w:rPr>
        <w:t>当充电电流未终止且</w:t>
      </w:r>
      <w:r>
        <w:rPr>
          <w:rFonts w:hint="eastAsia" w:ascii="Times New Roman" w:eastAsia="宋体"/>
        </w:rPr>
        <w:t>试验</w:t>
      </w:r>
      <w:r>
        <w:rPr>
          <w:rFonts w:ascii="Times New Roman" w:eastAsia="宋体"/>
        </w:rPr>
        <w:t>对象温度低于最高工作温度</w:t>
      </w:r>
      <w:r>
        <w:rPr>
          <w:rFonts w:hint="eastAsia" w:ascii="Times New Roman" w:eastAsia="宋体"/>
        </w:rPr>
        <w:t>再加</w:t>
      </w:r>
      <w:r>
        <w:rPr>
          <w:rFonts w:ascii="Times New Roman" w:eastAsia="宋体"/>
        </w:rPr>
        <w:t xml:space="preserve">10 </w:t>
      </w:r>
      <w:r>
        <w:rPr>
          <w:rFonts w:hint="eastAsia" w:ascii="宋体" w:hAnsi="宋体" w:eastAsia="宋体" w:cs="宋体"/>
        </w:rPr>
        <w:t>℃的</w:t>
      </w:r>
      <w:r>
        <w:rPr>
          <w:rFonts w:ascii="宋体" w:hAnsi="宋体" w:eastAsia="宋体" w:cs="宋体"/>
        </w:rPr>
        <w:t>温度值</w:t>
      </w:r>
      <w:r>
        <w:rPr>
          <w:rFonts w:ascii="Times New Roman" w:eastAsia="宋体"/>
        </w:rPr>
        <w:t>时，充电应持续12 h。</w:t>
      </w:r>
    </w:p>
    <w:p>
      <w:pPr>
        <w:pStyle w:val="51"/>
        <w:spacing w:before="156" w:after="156"/>
        <w:ind w:left="2" w:hanging="2"/>
        <w:jc w:val="both"/>
        <w:rPr>
          <w:rFonts w:ascii="Times New Roman" w:eastAsia="宋体"/>
        </w:rPr>
      </w:pPr>
      <w:r>
        <w:rPr>
          <w:rFonts w:hint="eastAsia" w:ascii="Times New Roman" w:eastAsia="宋体"/>
          <w:szCs w:val="20"/>
        </w:rPr>
        <w:t>完成以上</w:t>
      </w:r>
      <w:r>
        <w:rPr>
          <w:rFonts w:ascii="Times New Roman" w:eastAsia="宋体"/>
          <w:szCs w:val="20"/>
        </w:rPr>
        <w:t>试验步骤后</w:t>
      </w:r>
      <w:r>
        <w:rPr>
          <w:rFonts w:ascii="Times New Roman" w:eastAsia="宋体"/>
        </w:rPr>
        <w:t>，在试验</w:t>
      </w:r>
      <w:r>
        <w:rPr>
          <w:rFonts w:hint="eastAsia" w:ascii="Times New Roman" w:eastAsia="宋体"/>
        </w:rPr>
        <w:t>环境</w:t>
      </w:r>
      <w:r>
        <w:rPr>
          <w:rFonts w:ascii="Times New Roman" w:eastAsia="宋体"/>
        </w:rPr>
        <w:t>温度下观察1 h。</w:t>
      </w:r>
    </w:p>
    <w:p>
      <w:pPr>
        <w:pStyle w:val="46"/>
        <w:spacing w:before="156" w:after="156"/>
        <w:ind w:left="2"/>
        <w:outlineLvl w:val="2"/>
        <w:rPr>
          <w:rFonts w:hAnsi="黑体"/>
          <w:szCs w:val="20"/>
        </w:rPr>
      </w:pPr>
      <w:bookmarkStart w:id="1220" w:name="_Toc504059457"/>
      <w:bookmarkStart w:id="1221" w:name="_Toc513232556"/>
      <w:bookmarkStart w:id="1222" w:name="_Toc513234372"/>
      <w:r>
        <w:rPr>
          <w:rFonts w:hint="eastAsia" w:hAnsi="黑体"/>
        </w:rPr>
        <w:t>过放电保护</w:t>
      </w:r>
      <w:bookmarkEnd w:id="1220"/>
      <w:bookmarkEnd w:id="1221"/>
      <w:bookmarkEnd w:id="1222"/>
    </w:p>
    <w:p>
      <w:pPr>
        <w:pStyle w:val="51"/>
        <w:spacing w:before="156" w:after="156"/>
        <w:ind w:left="2" w:hanging="2"/>
        <w:rPr>
          <w:rFonts w:ascii="宋体"/>
          <w:szCs w:val="20"/>
        </w:rPr>
      </w:pPr>
      <w:r>
        <w:rPr>
          <w:rFonts w:hint="eastAsia" w:eastAsia="宋体"/>
        </w:rPr>
        <w:t>试验对象为电池系统。</w:t>
      </w:r>
      <w:r>
        <w:rPr>
          <w:rFonts w:eastAsia="宋体"/>
        </w:rPr>
        <w:t xml:space="preserve"> </w:t>
      </w:r>
    </w:p>
    <w:p>
      <w:pPr>
        <w:pStyle w:val="51"/>
        <w:spacing w:before="156" w:after="156"/>
        <w:ind w:left="2" w:hanging="2"/>
        <w:rPr>
          <w:rFonts w:eastAsia="宋体"/>
        </w:rPr>
      </w:pPr>
      <w:r>
        <w:rPr>
          <w:rFonts w:hint="eastAsia" w:eastAsia="宋体"/>
        </w:rPr>
        <w:t>试验条件如下：</w:t>
      </w:r>
    </w:p>
    <w:p>
      <w:pPr>
        <w:pStyle w:val="51"/>
        <w:numPr>
          <w:ilvl w:val="0"/>
          <w:numId w:val="31"/>
        </w:numPr>
        <w:spacing w:before="0" w:beforeLines="0" w:after="0" w:afterLines="0"/>
        <w:ind w:leftChars="200" w:hangingChars="200"/>
        <w:rPr>
          <w:rFonts w:ascii="Times New Roman"/>
          <w:szCs w:val="20"/>
        </w:rPr>
      </w:pPr>
      <w:r>
        <w:rPr>
          <w:rFonts w:ascii="Times New Roman" w:eastAsia="宋体"/>
        </w:rPr>
        <w:t xml:space="preserve">试验应在20 </w:t>
      </w:r>
      <w:r>
        <w:rPr>
          <w:rFonts w:hint="eastAsia" w:ascii="宋体" w:hAnsi="宋体" w:eastAsia="宋体" w:cs="宋体"/>
          <w:lang w:eastAsia="ja-JP"/>
        </w:rPr>
        <w:t>℃</w:t>
      </w:r>
      <w:r>
        <w:rPr>
          <w:rFonts w:ascii="Times New Roman" w:eastAsia="宋体"/>
        </w:rPr>
        <w:t xml:space="preserve">±10 </w:t>
      </w:r>
      <w:r>
        <w:rPr>
          <w:rFonts w:hint="eastAsia" w:ascii="宋体" w:hAnsi="宋体" w:eastAsia="宋体" w:cs="宋体"/>
        </w:rPr>
        <w:t>℃</w:t>
      </w:r>
      <w:r>
        <w:rPr>
          <w:rFonts w:ascii="Times New Roman" w:eastAsia="宋体"/>
        </w:rPr>
        <w:t>的环境温度或更高温度（如果电池系统制造商要求）下进行</w:t>
      </w:r>
      <w:r>
        <w:rPr>
          <w:rFonts w:hint="eastAsia" w:ascii="Times New Roman" w:eastAsia="宋体"/>
        </w:rPr>
        <w:t>；</w:t>
      </w:r>
    </w:p>
    <w:p>
      <w:pPr>
        <w:pStyle w:val="147"/>
        <w:numPr>
          <w:ilvl w:val="0"/>
          <w:numId w:val="31"/>
        </w:numPr>
        <w:ind w:leftChars="200" w:hangingChars="200"/>
        <w:rPr>
          <w:rFonts w:ascii="Times New Roman" w:cs="Times New Roman"/>
          <w:sz w:val="21"/>
          <w:szCs w:val="21"/>
        </w:rPr>
      </w:pPr>
      <w:r>
        <w:rPr>
          <w:rFonts w:ascii="Times New Roman" w:cs="Times New Roman"/>
          <w:sz w:val="21"/>
          <w:szCs w:val="21"/>
        </w:rPr>
        <w:t>按照电池系统制造商推荐的正常操作（如使用外部</w:t>
      </w:r>
      <w:r>
        <w:rPr>
          <w:rFonts w:hint="eastAsia" w:ascii="Times New Roman" w:cs="Times New Roman"/>
          <w:sz w:val="21"/>
          <w:szCs w:val="21"/>
        </w:rPr>
        <w:t>充放电设备</w:t>
      </w:r>
      <w:r>
        <w:rPr>
          <w:rFonts w:ascii="Times New Roman" w:cs="Times New Roman"/>
          <w:sz w:val="21"/>
          <w:szCs w:val="21"/>
        </w:rPr>
        <w:t>），调整试验对象的SOC到较低水平，但</w:t>
      </w:r>
      <w:r>
        <w:rPr>
          <w:rFonts w:hint="eastAsia" w:ascii="Times New Roman" w:cs="Times New Roman"/>
          <w:sz w:val="21"/>
          <w:szCs w:val="21"/>
        </w:rPr>
        <w:t>应</w:t>
      </w:r>
      <w:r>
        <w:rPr>
          <w:rFonts w:ascii="Times New Roman" w:cs="Times New Roman"/>
          <w:sz w:val="21"/>
          <w:szCs w:val="21"/>
        </w:rPr>
        <w:t>在正常的工作范围内。只要</w:t>
      </w:r>
      <w:r>
        <w:rPr>
          <w:rFonts w:hint="eastAsia" w:ascii="Times New Roman" w:cs="Times New Roman"/>
          <w:sz w:val="21"/>
          <w:szCs w:val="21"/>
        </w:rPr>
        <w:t>试验</w:t>
      </w:r>
      <w:r>
        <w:rPr>
          <w:rFonts w:ascii="Times New Roman" w:cs="Times New Roman"/>
          <w:sz w:val="21"/>
          <w:szCs w:val="21"/>
        </w:rPr>
        <w:t>对象能够正常运行，</w:t>
      </w:r>
      <w:r>
        <w:rPr>
          <w:rFonts w:hint="eastAsia" w:ascii="Times New Roman" w:cs="Times New Roman"/>
          <w:sz w:val="21"/>
          <w:szCs w:val="21"/>
        </w:rPr>
        <w:t>可</w:t>
      </w:r>
      <w:r>
        <w:rPr>
          <w:rFonts w:ascii="Times New Roman" w:cs="Times New Roman"/>
          <w:sz w:val="21"/>
          <w:szCs w:val="21"/>
        </w:rPr>
        <w:t>不需要精确的调整</w:t>
      </w:r>
      <w:r>
        <w:rPr>
          <w:rFonts w:hint="eastAsia" w:ascii="Times New Roman" w:cs="Times New Roman"/>
          <w:sz w:val="21"/>
          <w:szCs w:val="21"/>
        </w:rPr>
        <w:t>；</w:t>
      </w:r>
    </w:p>
    <w:p>
      <w:pPr>
        <w:pStyle w:val="144"/>
        <w:numPr>
          <w:ilvl w:val="0"/>
          <w:numId w:val="31"/>
        </w:numPr>
        <w:ind w:leftChars="200" w:hangingChars="200"/>
        <w:rPr>
          <w:rFonts w:ascii="Times New Roman" w:hAnsi="Times New Roman" w:cs="Times New Roman"/>
        </w:rPr>
      </w:pPr>
      <w:r>
        <w:rPr>
          <w:rFonts w:ascii="Times New Roman" w:hAnsi="Times New Roman" w:cs="Times New Roman"/>
        </w:rPr>
        <w:t>在试验开始时，影响</w:t>
      </w:r>
      <w:r>
        <w:rPr>
          <w:rFonts w:hint="eastAsia" w:ascii="Times New Roman" w:hAnsi="Times New Roman" w:cs="Times New Roman"/>
        </w:rPr>
        <w:t>试验</w:t>
      </w:r>
      <w:r>
        <w:rPr>
          <w:rFonts w:ascii="Times New Roman" w:hAnsi="Times New Roman" w:cs="Times New Roman"/>
        </w:rPr>
        <w:t>对象功能并与试验结果相关的所有保护设备都应处于正常运行状态。用于放电的所有相关的主要接触器都应闭合</w:t>
      </w:r>
      <w:r>
        <w:rPr>
          <w:rFonts w:hint="eastAsia"/>
        </w:rPr>
        <w:t>（如</w:t>
      </w:r>
      <w:r>
        <w:t>电池系统回路中包含相关继电器）</w:t>
      </w:r>
      <w:r>
        <w:rPr>
          <w:rFonts w:ascii="Times New Roman" w:hAnsi="Times New Roman" w:cs="Times New Roman"/>
        </w:rPr>
        <w:t>。</w:t>
      </w:r>
    </w:p>
    <w:p>
      <w:pPr>
        <w:pStyle w:val="51"/>
        <w:spacing w:before="156" w:after="156"/>
        <w:ind w:left="2" w:hanging="2"/>
        <w:rPr>
          <w:rFonts w:asciiTheme="majorEastAsia" w:hAnsiTheme="majorEastAsia" w:eastAsiaTheme="majorEastAsia"/>
        </w:rPr>
      </w:pPr>
      <w:r>
        <w:rPr>
          <w:rFonts w:hint="eastAsia" w:asciiTheme="majorEastAsia" w:hAnsiTheme="majorEastAsia" w:eastAsiaTheme="majorEastAsia"/>
        </w:rPr>
        <w:t>放电过程如下</w:t>
      </w:r>
      <w:r>
        <w:rPr>
          <w:rFonts w:hint="eastAsia" w:eastAsia="宋体"/>
        </w:rPr>
        <w:t>：</w:t>
      </w:r>
    </w:p>
    <w:p>
      <w:pPr>
        <w:pStyle w:val="51"/>
        <w:numPr>
          <w:ilvl w:val="0"/>
          <w:numId w:val="32"/>
        </w:numPr>
        <w:spacing w:before="0" w:beforeLines="0" w:after="0" w:afterLines="0"/>
        <w:ind w:left="840" w:leftChars="200" w:hangingChars="200"/>
        <w:rPr>
          <w:rFonts w:eastAsia="宋体"/>
        </w:rPr>
      </w:pPr>
      <w:r>
        <w:rPr>
          <w:rFonts w:ascii="Times New Roman" w:eastAsia="宋体"/>
        </w:rPr>
        <w:t>外部放电设备应连接到</w:t>
      </w:r>
      <w:r>
        <w:rPr>
          <w:rFonts w:hint="eastAsia" w:ascii="Times New Roman" w:eastAsia="宋体"/>
        </w:rPr>
        <w:t>试验</w:t>
      </w:r>
      <w:r>
        <w:rPr>
          <w:rFonts w:ascii="Times New Roman" w:eastAsia="宋体"/>
        </w:rPr>
        <w:t>对象的主端子</w:t>
      </w:r>
      <w:r>
        <w:rPr>
          <w:rFonts w:hint="eastAsia" w:ascii="Times New Roman" w:eastAsia="宋体"/>
        </w:rPr>
        <w:t>；</w:t>
      </w:r>
    </w:p>
    <w:p>
      <w:pPr>
        <w:pStyle w:val="51"/>
        <w:numPr>
          <w:ilvl w:val="0"/>
          <w:numId w:val="32"/>
        </w:numPr>
        <w:spacing w:before="0" w:beforeLines="0" w:after="0" w:afterLines="0"/>
        <w:ind w:left="840" w:leftChars="200" w:hangingChars="200"/>
        <w:rPr>
          <w:rFonts w:ascii="Times New Roman" w:eastAsia="宋体"/>
        </w:rPr>
      </w:pPr>
      <w:r>
        <w:rPr>
          <w:rFonts w:ascii="Times New Roman" w:eastAsia="宋体"/>
        </w:rPr>
        <w:t>应与电池系统制造商协商，在规定的正常工作范围内以稳定的电流进行放电。</w:t>
      </w:r>
    </w:p>
    <w:p>
      <w:pPr>
        <w:pStyle w:val="51"/>
        <w:tabs>
          <w:tab w:val="left" w:pos="2880"/>
        </w:tabs>
        <w:spacing w:before="156" w:after="156"/>
        <w:ind w:left="2" w:hanging="2"/>
        <w:rPr>
          <w:rFonts w:ascii="宋体"/>
          <w:szCs w:val="20"/>
        </w:rPr>
      </w:pPr>
      <w:r>
        <w:rPr>
          <w:rFonts w:hint="eastAsia" w:eastAsia="宋体"/>
        </w:rPr>
        <w:t>放电应持续进行，直至符合以下任一条件时，结束试验：</w:t>
      </w:r>
    </w:p>
    <w:p>
      <w:pPr>
        <w:pStyle w:val="51"/>
        <w:numPr>
          <w:ilvl w:val="0"/>
          <w:numId w:val="33"/>
        </w:numPr>
        <w:spacing w:before="0" w:beforeLines="0" w:after="0" w:afterLines="0"/>
        <w:ind w:leftChars="200" w:hangingChars="200"/>
        <w:rPr>
          <w:rFonts w:ascii="Times New Roman"/>
          <w:szCs w:val="20"/>
        </w:rPr>
      </w:pPr>
      <w:r>
        <w:rPr>
          <w:rFonts w:ascii="Times New Roman" w:eastAsiaTheme="minorEastAsia"/>
        </w:rPr>
        <w:t>试验对象自动终止放电电流</w:t>
      </w:r>
      <w:r>
        <w:rPr>
          <w:rFonts w:hint="eastAsia" w:ascii="Times New Roman" w:eastAsiaTheme="minorEastAsia"/>
        </w:rPr>
        <w:t>；</w:t>
      </w:r>
    </w:p>
    <w:p>
      <w:pPr>
        <w:pStyle w:val="51"/>
        <w:numPr>
          <w:ilvl w:val="0"/>
          <w:numId w:val="33"/>
        </w:numPr>
        <w:spacing w:before="0" w:beforeLines="0" w:after="0" w:afterLines="0"/>
        <w:ind w:leftChars="200" w:hangingChars="200"/>
        <w:rPr>
          <w:rFonts w:ascii="Times New Roman" w:eastAsiaTheme="minorEastAsia"/>
        </w:rPr>
      </w:pPr>
      <w:r>
        <w:rPr>
          <w:rFonts w:ascii="Times New Roman" w:eastAsiaTheme="minorEastAsia"/>
        </w:rPr>
        <w:t>试验对象发出终止放电电流的信号</w:t>
      </w:r>
      <w:r>
        <w:rPr>
          <w:rFonts w:hint="eastAsia" w:ascii="Times New Roman" w:eastAsiaTheme="minorEastAsia"/>
        </w:rPr>
        <w:t>；</w:t>
      </w:r>
    </w:p>
    <w:p>
      <w:pPr>
        <w:pStyle w:val="51"/>
        <w:numPr>
          <w:ilvl w:val="0"/>
          <w:numId w:val="33"/>
        </w:numPr>
        <w:spacing w:before="0" w:beforeLines="0" w:after="0" w:afterLines="0"/>
        <w:ind w:leftChars="200" w:hangingChars="200"/>
        <w:rPr>
          <w:rFonts w:ascii="Times New Roman" w:eastAsiaTheme="minorEastAsia"/>
        </w:rPr>
      </w:pPr>
      <w:r>
        <w:rPr>
          <w:rFonts w:ascii="Times New Roman" w:eastAsiaTheme="minorEastAsia"/>
        </w:rPr>
        <w:t>当试验对象的自动中断功能未起作用，或者没有8.2.15.4</w:t>
      </w:r>
      <w:r>
        <w:rPr>
          <w:rFonts w:hint="eastAsia" w:ascii="Times New Roman" w:eastAsiaTheme="minorEastAsia"/>
        </w:rPr>
        <w:t>中</w:t>
      </w:r>
      <w:r>
        <w:rPr>
          <w:rFonts w:ascii="Times New Roman" w:eastAsiaTheme="minorEastAsia"/>
        </w:rPr>
        <w:t xml:space="preserve"> a）所述的功能，则应继续放电，使得试验对象放电到其额定电压的25%为止</w:t>
      </w:r>
      <w:r>
        <w:rPr>
          <w:rFonts w:hint="eastAsia" w:ascii="Times New Roman" w:eastAsiaTheme="minorEastAsia"/>
        </w:rPr>
        <w:t>；</w:t>
      </w:r>
    </w:p>
    <w:p>
      <w:pPr>
        <w:pStyle w:val="51"/>
        <w:numPr>
          <w:ilvl w:val="0"/>
          <w:numId w:val="33"/>
        </w:numPr>
        <w:spacing w:before="0" w:beforeLines="0" w:after="0" w:afterLines="0"/>
        <w:ind w:leftChars="200" w:hangingChars="200"/>
        <w:rPr>
          <w:rFonts w:ascii="Times New Roman" w:eastAsiaTheme="minorEastAsia"/>
        </w:rPr>
      </w:pPr>
      <w:r>
        <w:rPr>
          <w:rFonts w:ascii="Times New Roman" w:eastAsiaTheme="minorEastAsia"/>
        </w:rPr>
        <w:t>试验对象的温度稳定，温度</w:t>
      </w:r>
      <w:r>
        <w:rPr>
          <w:rFonts w:hint="eastAsia" w:ascii="Times New Roman" w:eastAsiaTheme="minorEastAsia"/>
        </w:rPr>
        <w:t>变化</w:t>
      </w:r>
      <w:r>
        <w:rPr>
          <w:rFonts w:ascii="Times New Roman" w:eastAsiaTheme="minorEastAsia"/>
        </w:rPr>
        <w:t xml:space="preserve">在2 h内小于4 </w:t>
      </w:r>
      <w:r>
        <w:rPr>
          <w:rFonts w:hint="eastAsia" w:ascii="宋体" w:hAnsi="宋体" w:eastAsia="宋体" w:cs="宋体"/>
        </w:rPr>
        <w:t>℃</w:t>
      </w:r>
      <w:r>
        <w:rPr>
          <w:rFonts w:ascii="Times New Roman" w:eastAsiaTheme="minorEastAsia"/>
        </w:rPr>
        <w:t>。</w:t>
      </w:r>
    </w:p>
    <w:p>
      <w:pPr>
        <w:pStyle w:val="51"/>
        <w:spacing w:before="156" w:after="156"/>
        <w:ind w:left="2" w:hanging="2"/>
      </w:pPr>
      <w:r>
        <w:rPr>
          <w:rFonts w:hint="eastAsia" w:ascii="Times New Roman" w:eastAsia="宋体"/>
          <w:szCs w:val="20"/>
        </w:rPr>
        <w:t>完成以上</w:t>
      </w:r>
      <w:r>
        <w:rPr>
          <w:rFonts w:ascii="Times New Roman" w:eastAsia="宋体"/>
          <w:szCs w:val="20"/>
        </w:rPr>
        <w:t>试验步骤后</w:t>
      </w:r>
      <w:r>
        <w:rPr>
          <w:rFonts w:ascii="Times New Roman" w:eastAsia="宋体"/>
        </w:rPr>
        <w:t>，在试验</w:t>
      </w:r>
      <w:r>
        <w:rPr>
          <w:rFonts w:hint="eastAsia" w:ascii="Times New Roman" w:eastAsia="宋体"/>
        </w:rPr>
        <w:t>环境</w:t>
      </w:r>
      <w:r>
        <w:rPr>
          <w:rFonts w:ascii="Times New Roman" w:eastAsia="宋体"/>
        </w:rPr>
        <w:t>温度下观察1 h。</w:t>
      </w:r>
    </w:p>
    <w:p>
      <w:pPr>
        <w:pStyle w:val="46"/>
        <w:spacing w:before="156" w:after="156"/>
        <w:ind w:left="2"/>
        <w:outlineLvl w:val="2"/>
        <w:rPr>
          <w:rFonts w:hAnsi="黑体"/>
        </w:rPr>
      </w:pPr>
      <w:r>
        <w:rPr>
          <w:rFonts w:hint="eastAsia" w:hAnsi="黑体"/>
        </w:rPr>
        <w:t>底部撞击</w:t>
      </w:r>
    </w:p>
    <w:p>
      <w:pPr>
        <w:numPr>
          <w:ilvl w:val="3"/>
          <w:numId w:val="2"/>
        </w:numPr>
        <w:spacing w:before="156" w:beforeLines="50" w:after="156" w:afterLines="50"/>
        <w:ind w:left="2" w:hanging="2"/>
        <w:outlineLvl w:val="4"/>
        <w:rPr>
          <w:rFonts w:ascii="宋体" w:hAnsi="宋体"/>
          <w:szCs w:val="21"/>
        </w:rPr>
      </w:pPr>
      <w:r>
        <w:rPr>
          <w:rFonts w:hint="eastAsia" w:ascii="宋体" w:hAnsi="宋体"/>
          <w:szCs w:val="21"/>
        </w:rPr>
        <w:t>试验对象为</w:t>
      </w:r>
      <w:r>
        <w:rPr>
          <w:rFonts w:hint="eastAsia" w:asciiTheme="minorEastAsia" w:hAnsiTheme="minorEastAsia" w:eastAsiaTheme="minorEastAsia"/>
        </w:rPr>
        <w:t>安装在车辆底部的</w:t>
      </w:r>
      <w:r>
        <w:rPr>
          <w:rFonts w:asciiTheme="minorEastAsia" w:hAnsiTheme="minorEastAsia" w:eastAsiaTheme="minorEastAsia"/>
        </w:rPr>
        <w:t>电池包或系统</w:t>
      </w:r>
      <w:r>
        <w:rPr>
          <w:rFonts w:hint="eastAsia" w:asciiTheme="minorEastAsia" w:hAnsiTheme="minorEastAsia" w:eastAsiaTheme="minorEastAsia"/>
        </w:rPr>
        <w:t>，或其对应的</w:t>
      </w:r>
      <w:r>
        <w:rPr>
          <w:rFonts w:asciiTheme="minorEastAsia" w:hAnsiTheme="minorEastAsia" w:eastAsiaTheme="minorEastAsia"/>
        </w:rPr>
        <w:t>整车</w:t>
      </w:r>
      <w:r>
        <w:rPr>
          <w:rFonts w:hint="eastAsia" w:ascii="宋体" w:hAnsi="宋体"/>
          <w:szCs w:val="21"/>
        </w:rPr>
        <w:t>。</w:t>
      </w:r>
      <w:r>
        <w:rPr>
          <w:rFonts w:hint="eastAsia" w:asciiTheme="minorEastAsia" w:hAnsiTheme="minorEastAsia" w:eastAsiaTheme="minorEastAsia"/>
        </w:rPr>
        <w:t>试验对象为电池包或系统时，允许对电池包或系统起到保护作用的车身结构参与试验。</w:t>
      </w:r>
    </w:p>
    <w:p>
      <w:pPr>
        <w:pStyle w:val="51"/>
        <w:spacing w:before="156" w:after="156"/>
        <w:ind w:left="2" w:hanging="2"/>
        <w:rPr>
          <w:rFonts w:asciiTheme="minorEastAsia" w:hAnsiTheme="minorEastAsia" w:eastAsiaTheme="minorEastAsia"/>
        </w:rPr>
      </w:pPr>
      <w:r>
        <w:rPr>
          <w:rFonts w:hint="eastAsia" w:asciiTheme="minorEastAsia" w:hAnsiTheme="minorEastAsia" w:eastAsiaTheme="minorEastAsia"/>
        </w:rPr>
        <w:t>按下列条件进行试验(如图</w:t>
      </w:r>
      <w:r>
        <w:rPr>
          <w:rFonts w:ascii="Times New Roman" w:eastAsiaTheme="minorEastAsia"/>
        </w:rPr>
        <w:t>13</w:t>
      </w:r>
      <w:r>
        <w:rPr>
          <w:rFonts w:hint="eastAsia" w:asciiTheme="minorEastAsia" w:hAnsiTheme="minorEastAsia" w:eastAsiaTheme="minorEastAsia"/>
        </w:rPr>
        <w:t>所示）：</w:t>
      </w:r>
    </w:p>
    <w:p>
      <w:pPr>
        <w:pStyle w:val="51"/>
        <w:numPr>
          <w:ilvl w:val="0"/>
          <w:numId w:val="34"/>
        </w:numPr>
        <w:spacing w:before="0" w:beforeLines="0" w:after="0" w:afterLines="0"/>
        <w:ind w:left="839"/>
        <w:jc w:val="both"/>
        <w:rPr>
          <w:rFonts w:ascii="Times New Roman" w:eastAsia="宋体"/>
          <w:szCs w:val="20"/>
        </w:rPr>
      </w:pPr>
      <w:r>
        <w:rPr>
          <w:rFonts w:hint="eastAsia" w:ascii="Times New Roman" w:eastAsia="宋体"/>
          <w:szCs w:val="20"/>
        </w:rPr>
        <w:t>撞击头形式：撞击头前端为直径30</w:t>
      </w:r>
      <w:r>
        <w:rPr>
          <w:rFonts w:ascii="Times New Roman" w:eastAsia="宋体"/>
          <w:szCs w:val="20"/>
        </w:rPr>
        <w:t xml:space="preserve"> </w:t>
      </w:r>
      <w:r>
        <w:rPr>
          <w:rFonts w:hint="eastAsia" w:ascii="Times New Roman" w:eastAsia="宋体"/>
          <w:szCs w:val="20"/>
        </w:rPr>
        <w:t>mm的半球形，撞击头材质为钢；</w:t>
      </w:r>
      <w:r>
        <w:rPr>
          <w:rFonts w:ascii="Times New Roman" w:eastAsia="宋体"/>
          <w:szCs w:val="20"/>
        </w:rPr>
        <w:t xml:space="preserve"> </w:t>
      </w:r>
    </w:p>
    <w:p>
      <w:pPr>
        <w:pStyle w:val="51"/>
        <w:numPr>
          <w:ilvl w:val="0"/>
          <w:numId w:val="34"/>
        </w:numPr>
        <w:spacing w:before="0" w:beforeLines="0" w:after="0" w:afterLines="0"/>
        <w:ind w:left="839"/>
        <w:jc w:val="both"/>
        <w:rPr>
          <w:rFonts w:ascii="Times New Roman" w:eastAsia="宋体"/>
          <w:szCs w:val="20"/>
        </w:rPr>
      </w:pPr>
      <w:r>
        <w:rPr>
          <w:rFonts w:hint="eastAsia" w:ascii="Times New Roman" w:eastAsia="宋体"/>
          <w:szCs w:val="20"/>
        </w:rPr>
        <w:t>撞击方向：+</w:t>
      </w:r>
      <w:r>
        <w:rPr>
          <w:rFonts w:ascii="Times New Roman" w:eastAsia="宋体"/>
          <w:szCs w:val="20"/>
        </w:rPr>
        <w:t>z</w:t>
      </w:r>
      <w:r>
        <w:rPr>
          <w:rFonts w:hint="eastAsia" w:ascii="Times New Roman" w:eastAsia="宋体"/>
          <w:szCs w:val="20"/>
        </w:rPr>
        <w:t>方向（汽车行驶方向为</w:t>
      </w:r>
      <w:r>
        <w:rPr>
          <w:rFonts w:ascii="Times New Roman" w:eastAsia="宋体"/>
          <w:szCs w:val="20"/>
        </w:rPr>
        <w:t>x</w:t>
      </w:r>
      <w:r>
        <w:rPr>
          <w:rFonts w:hint="eastAsia" w:ascii="Times New Roman" w:eastAsia="宋体"/>
          <w:szCs w:val="20"/>
        </w:rPr>
        <w:t>轴方向，另一垂直于行驶方向的水平方向为</w:t>
      </w:r>
      <w:r>
        <w:rPr>
          <w:rFonts w:ascii="Times New Roman" w:eastAsia="宋体"/>
          <w:szCs w:val="20"/>
        </w:rPr>
        <w:t>y</w:t>
      </w:r>
      <w:r>
        <w:rPr>
          <w:rFonts w:hint="eastAsia" w:ascii="Times New Roman" w:eastAsia="宋体"/>
          <w:szCs w:val="20"/>
        </w:rPr>
        <w:t>轴方向,</w:t>
      </w:r>
      <w:r>
        <w:rPr>
          <w:rFonts w:hint="eastAsia" w:ascii="Times New Roman" w:eastAsiaTheme="minorEastAsia"/>
          <w:color w:val="000000"/>
          <w:kern w:val="24"/>
        </w:rPr>
        <w:t xml:space="preserve"> 同时垂直于x和y方向为z方向</w:t>
      </w:r>
      <w:r>
        <w:rPr>
          <w:rFonts w:hint="eastAsia" w:ascii="Times New Roman" w:eastAsia="宋体"/>
          <w:szCs w:val="20"/>
        </w:rPr>
        <w:t>）；</w:t>
      </w:r>
    </w:p>
    <w:p>
      <w:pPr>
        <w:pStyle w:val="144"/>
        <w:numPr>
          <w:ilvl w:val="0"/>
          <w:numId w:val="34"/>
        </w:numPr>
        <w:rPr>
          <w:rFonts w:ascii="Times New Roman" w:hAnsi="Times New Roman" w:cs="Times New Roman"/>
          <w:szCs w:val="20"/>
        </w:rPr>
      </w:pPr>
      <w:r>
        <w:rPr>
          <w:rFonts w:hint="eastAsia" w:ascii="Times New Roman"/>
          <w:szCs w:val="20"/>
        </w:rPr>
        <w:t>撞击位置：制造商提供的</w:t>
      </w:r>
      <w:r>
        <w:rPr>
          <w:rFonts w:hint="eastAsia" w:ascii="Times New Roman" w:hAnsi="Times New Roman" w:cs="Times New Roman"/>
          <w:szCs w:val="20"/>
        </w:rPr>
        <w:t>3处底部防护风险点位作为冲击位置（涵盖电池前部、中部、后部）；</w:t>
      </w:r>
    </w:p>
    <w:p>
      <w:pPr>
        <w:pStyle w:val="51"/>
        <w:numPr>
          <w:ilvl w:val="0"/>
          <w:numId w:val="34"/>
        </w:numPr>
        <w:spacing w:before="0" w:beforeLines="0" w:after="0" w:afterLines="0"/>
        <w:ind w:left="839"/>
        <w:jc w:val="both"/>
        <w:rPr>
          <w:rFonts w:ascii="Times New Roman" w:eastAsia="宋体"/>
          <w:szCs w:val="20"/>
        </w:rPr>
      </w:pPr>
      <w:r>
        <w:rPr>
          <w:rFonts w:hint="eastAsia" w:ascii="Times New Roman" w:eastAsia="宋体"/>
          <w:szCs w:val="20"/>
        </w:rPr>
        <w:t>撞击能量：150</w:t>
      </w:r>
      <w:r>
        <w:rPr>
          <w:rFonts w:ascii="Times New Roman" w:eastAsia="宋体"/>
          <w:szCs w:val="20"/>
        </w:rPr>
        <w:t xml:space="preserve"> J</w:t>
      </w:r>
      <w:r>
        <w:rPr>
          <w:rFonts w:hint="eastAsia" w:ascii="Times New Roman" w:eastAsia="宋体"/>
          <w:szCs w:val="20"/>
        </w:rPr>
        <w:t>。</w:t>
      </w:r>
    </w:p>
    <w:p>
      <w:pPr>
        <w:pStyle w:val="51"/>
        <w:spacing w:before="156" w:after="156"/>
        <w:ind w:left="2" w:hanging="2"/>
        <w:rPr>
          <w:rFonts w:asciiTheme="minorEastAsia" w:hAnsiTheme="minorEastAsia" w:eastAsiaTheme="minorEastAsia"/>
        </w:rPr>
      </w:pPr>
      <w:r>
        <w:rPr>
          <w:rFonts w:hint="eastAsia" w:asciiTheme="minorEastAsia" w:hAnsiTheme="minorEastAsia" w:eastAsiaTheme="minorEastAsia"/>
        </w:rPr>
        <w:t>完成上述试验步骤后，在试验环境温度下观察</w:t>
      </w:r>
      <w:r>
        <w:rPr>
          <w:rFonts w:ascii="Times New Roman" w:eastAsiaTheme="minorEastAsia"/>
        </w:rPr>
        <w:t>2 h</w:t>
      </w:r>
      <w:r>
        <w:rPr>
          <w:rFonts w:hint="eastAsia" w:asciiTheme="minorEastAsia" w:hAnsiTheme="minorEastAsia" w:eastAsiaTheme="minorEastAsia"/>
        </w:rPr>
        <w:t>。</w:t>
      </w:r>
    </w:p>
    <w:p>
      <w:pPr>
        <w:pStyle w:val="23"/>
        <w:jc w:val="center"/>
      </w:pPr>
      <w:r>
        <w:drawing>
          <wp:inline distT="0" distB="0" distL="0" distR="0">
            <wp:extent cx="3133725" cy="2159000"/>
            <wp:effectExtent l="0" t="0" r="0" b="0"/>
            <wp:docPr id="232" name="图片 232" descr="C:\Users\chenshil\AppData\Roaming\DingTalk\2923832253_v2\resource_cache\8a\8a9ead320d59b2867431561e34de0f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descr="C:\Users\chenshil\AppData\Roaming\DingTalk\2923832253_v2\resource_cache\8a\8a9ead320d59b2867431561e34de0fa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187956" cy="2196487"/>
                    </a:xfrm>
                    <a:prstGeom prst="rect">
                      <a:avLst/>
                    </a:prstGeom>
                    <a:noFill/>
                    <a:ln>
                      <a:noFill/>
                    </a:ln>
                  </pic:spPr>
                </pic:pic>
              </a:graphicData>
            </a:graphic>
          </wp:inline>
        </w:drawing>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 xml:space="preserve"> </w:t>
      </w:r>
      <w:r>
        <w:rPr>
          <w:rFonts w:ascii="黑体" w:hAnsi="黑体" w:eastAsia="黑体"/>
        </w:rPr>
        <w:t xml:space="preserve">   </w:t>
      </w:r>
      <w:r>
        <w:rPr>
          <w:rFonts w:hint="eastAsia" w:ascii="黑体" w:hAnsi="黑体" w:eastAsia="黑体"/>
        </w:rPr>
        <w:t>图13</w:t>
      </w:r>
      <w:r>
        <w:rPr>
          <w:rFonts w:ascii="黑体" w:hAnsi="黑体" w:eastAsia="黑体"/>
        </w:rPr>
        <w:t xml:space="preserve"> </w:t>
      </w:r>
      <w:r>
        <w:rPr>
          <w:rFonts w:hint="eastAsia" w:ascii="黑体" w:hAnsi="黑体" w:eastAsia="黑体"/>
        </w:rPr>
        <w:t>底部撞击示意图</w:t>
      </w:r>
    </w:p>
    <w:p>
      <w:pPr>
        <w:pStyle w:val="45"/>
        <w:spacing w:before="312" w:after="312"/>
        <w:rPr>
          <w:rFonts w:ascii="Times New Roman"/>
        </w:rPr>
      </w:pPr>
      <w:bookmarkStart w:id="1223" w:name="_Toc513232563"/>
      <w:bookmarkEnd w:id="1223"/>
      <w:bookmarkStart w:id="1224" w:name="_Toc513232557"/>
      <w:bookmarkEnd w:id="1224"/>
      <w:bookmarkStart w:id="1225" w:name="_Toc513232558"/>
      <w:bookmarkEnd w:id="1225"/>
      <w:bookmarkStart w:id="1226" w:name="_Toc513232562"/>
      <w:bookmarkEnd w:id="1226"/>
      <w:bookmarkStart w:id="1227" w:name="_Toc513232561"/>
      <w:bookmarkEnd w:id="1227"/>
      <w:bookmarkStart w:id="1228" w:name="_Toc513232559"/>
      <w:bookmarkEnd w:id="1228"/>
      <w:bookmarkStart w:id="1229" w:name="_Toc513232560"/>
      <w:bookmarkEnd w:id="1229"/>
      <w:bookmarkStart w:id="1230" w:name="_Toc513234376"/>
      <w:r>
        <w:rPr>
          <w:rFonts w:ascii="Times New Roman"/>
        </w:rPr>
        <w:t>实施</w:t>
      </w:r>
      <w:r>
        <w:rPr>
          <w:rFonts w:hint="eastAsia" w:ascii="Times New Roman"/>
        </w:rPr>
        <w:t>日期</w:t>
      </w:r>
      <w:bookmarkEnd w:id="1230"/>
    </w:p>
    <w:p>
      <w:pPr>
        <w:pStyle w:val="42"/>
        <w:numPr>
          <w:ilvl w:val="0"/>
          <w:numId w:val="0"/>
        </w:numPr>
        <w:spacing w:beforeLines="0" w:afterLines="0"/>
        <w:ind w:firstLine="420" w:firstLineChars="200"/>
        <w:jc w:val="both"/>
        <w:outlineLvl w:val="9"/>
        <w:rPr>
          <w:rFonts w:asciiTheme="minorEastAsia" w:hAnsiTheme="minorEastAsia" w:eastAsiaTheme="minorEastAsia"/>
        </w:rPr>
      </w:pPr>
      <w:bookmarkStart w:id="1231" w:name="_Toc513234377"/>
      <w:bookmarkStart w:id="1232" w:name="_Toc513232565"/>
      <w:bookmarkStart w:id="1233" w:name="_Toc512454290"/>
      <w:r>
        <w:rPr>
          <w:rFonts w:asciiTheme="minorEastAsia" w:hAnsiTheme="minorEastAsia" w:eastAsiaTheme="minorEastAsia"/>
        </w:rPr>
        <w:t>新申请型式批准的车型自</w:t>
      </w:r>
      <w:r>
        <w:rPr>
          <w:rFonts w:hint="eastAsia" w:asciiTheme="minorEastAsia" w:hAnsiTheme="minorEastAsia" w:eastAsiaTheme="minorEastAsia"/>
        </w:rPr>
        <w:t>本文件</w:t>
      </w:r>
      <w:r>
        <w:rPr>
          <w:rFonts w:asciiTheme="minorEastAsia" w:hAnsiTheme="minorEastAsia" w:eastAsiaTheme="minorEastAsia"/>
        </w:rPr>
        <w:t>实施之日起开始执行，已获得型式批准的</w:t>
      </w:r>
      <w:r>
        <w:rPr>
          <w:rFonts w:hint="eastAsia" w:asciiTheme="minorEastAsia" w:hAnsiTheme="minorEastAsia" w:eastAsiaTheme="minorEastAsia"/>
        </w:rPr>
        <w:t>车型</w:t>
      </w:r>
      <w:r>
        <w:rPr>
          <w:rFonts w:asciiTheme="minorEastAsia" w:hAnsiTheme="minorEastAsia" w:eastAsiaTheme="minorEastAsia"/>
        </w:rPr>
        <w:t>自</w:t>
      </w:r>
      <w:r>
        <w:rPr>
          <w:rFonts w:hint="eastAsia" w:asciiTheme="minorEastAsia" w:hAnsiTheme="minorEastAsia" w:eastAsiaTheme="minorEastAsia"/>
        </w:rPr>
        <w:t>本文件</w:t>
      </w:r>
      <w:r>
        <w:rPr>
          <w:rFonts w:asciiTheme="minorEastAsia" w:hAnsiTheme="minorEastAsia" w:eastAsiaTheme="minorEastAsia"/>
        </w:rPr>
        <w:t>实施之日起</w:t>
      </w:r>
      <w:r>
        <w:rPr>
          <w:rFonts w:hint="eastAsia" w:asciiTheme="minorEastAsia" w:hAnsiTheme="minorEastAsia" w:eastAsiaTheme="minorEastAsia"/>
        </w:rPr>
        <w:t>第</w:t>
      </w:r>
      <w:r>
        <w:rPr>
          <w:rFonts w:ascii="Times New Roman" w:eastAsiaTheme="minorEastAsia"/>
        </w:rPr>
        <w:t>13</w:t>
      </w:r>
      <w:r>
        <w:rPr>
          <w:rFonts w:hint="eastAsia" w:asciiTheme="minorEastAsia" w:hAnsiTheme="minorEastAsia" w:eastAsiaTheme="minorEastAsia"/>
        </w:rPr>
        <w:t>个</w:t>
      </w:r>
      <w:r>
        <w:rPr>
          <w:rFonts w:asciiTheme="minorEastAsia" w:hAnsiTheme="minorEastAsia" w:eastAsiaTheme="minorEastAsia"/>
        </w:rPr>
        <w:t>月开始</w:t>
      </w:r>
      <w:r>
        <w:rPr>
          <w:rFonts w:hint="eastAsia" w:asciiTheme="minorEastAsia" w:hAnsiTheme="minorEastAsia" w:eastAsiaTheme="minorEastAsia"/>
        </w:rPr>
        <w:t>执行</w:t>
      </w:r>
      <w:r>
        <w:rPr>
          <w:rFonts w:asciiTheme="minorEastAsia" w:hAnsiTheme="minorEastAsia" w:eastAsiaTheme="minorEastAsia"/>
        </w:rPr>
        <w:t>。</w:t>
      </w:r>
      <w:bookmarkEnd w:id="1231"/>
      <w:bookmarkEnd w:id="1232"/>
      <w:bookmarkEnd w:id="1233"/>
    </w:p>
    <w:p>
      <w:pPr>
        <w:widowControl/>
        <w:jc w:val="left"/>
        <w:rPr>
          <w:rFonts w:asciiTheme="minorEastAsia" w:hAnsiTheme="minorEastAsia" w:eastAsiaTheme="minorEastAsia"/>
        </w:rPr>
        <w:sectPr>
          <w:pgSz w:w="11906" w:h="16838"/>
          <w:pgMar w:top="567" w:right="1134" w:bottom="1134" w:left="1418" w:header="1418" w:footer="1134" w:gutter="0"/>
          <w:pgNumType w:start="1"/>
          <w:cols w:space="425" w:num="1"/>
          <w:formProt w:val="0"/>
          <w:docGrid w:type="lines" w:linePitch="312" w:charSpace="0"/>
        </w:sectPr>
      </w:pPr>
    </w:p>
    <w:bookmarkEnd w:id="998"/>
    <w:p>
      <w:pPr>
        <w:pStyle w:val="84"/>
        <w:rPr>
          <w:rFonts w:ascii="Times New Roman"/>
        </w:rPr>
      </w:pPr>
      <w:r>
        <w:rPr>
          <w:rFonts w:ascii="Times New Roman"/>
        </w:rPr>
        <w:br w:type="textWrapping"/>
      </w:r>
      <w:bookmarkStart w:id="1234" w:name="_Toc513234379"/>
      <w:r>
        <w:rPr>
          <w:rFonts w:hint="eastAsia" w:ascii="Times New Roman"/>
        </w:rPr>
        <w:t>（资料性附录）</w:t>
      </w:r>
      <w:r>
        <w:rPr>
          <w:rFonts w:ascii="Times New Roman"/>
        </w:rPr>
        <w:br w:type="textWrapping"/>
      </w:r>
      <w:r>
        <w:rPr>
          <w:rFonts w:hint="eastAsia" w:ascii="Times New Roman"/>
        </w:rPr>
        <w:t>电池包或系统的典型结构</w:t>
      </w:r>
      <w:bookmarkEnd w:id="1234"/>
    </w:p>
    <w:p>
      <w:pPr>
        <w:pStyle w:val="102"/>
        <w:tabs>
          <w:tab w:val="left" w:pos="360"/>
        </w:tabs>
        <w:spacing w:before="312" w:after="312"/>
        <w:ind w:left="0"/>
        <w:rPr>
          <w:rFonts w:ascii="Times New Roman"/>
        </w:rPr>
      </w:pPr>
      <w:bookmarkStart w:id="1235" w:name="_Toc513232568"/>
      <w:bookmarkStart w:id="1236" w:name="_Toc513234380"/>
      <w:bookmarkStart w:id="1237" w:name="_Toc510644260"/>
      <w:bookmarkStart w:id="1238" w:name="_Toc512454293"/>
      <w:bookmarkStart w:id="1239" w:name="_Toc501358506"/>
      <w:bookmarkStart w:id="1240" w:name="_Toc504059459"/>
      <w:bookmarkStart w:id="1241" w:name="_Toc512347142"/>
      <w:bookmarkStart w:id="1242" w:name="_Toc511831737"/>
      <w:bookmarkStart w:id="1243" w:name="_Toc511045400"/>
      <w:r>
        <w:rPr>
          <w:rFonts w:hint="eastAsia" w:ascii="Times New Roman"/>
        </w:rPr>
        <w:t>电池包</w:t>
      </w:r>
      <w:bookmarkEnd w:id="1235"/>
      <w:bookmarkEnd w:id="1236"/>
      <w:bookmarkEnd w:id="1237"/>
      <w:bookmarkEnd w:id="1238"/>
      <w:bookmarkEnd w:id="1239"/>
      <w:bookmarkEnd w:id="1240"/>
      <w:bookmarkEnd w:id="1241"/>
      <w:bookmarkEnd w:id="1242"/>
      <w:bookmarkEnd w:id="1243"/>
    </w:p>
    <w:p>
      <w:pPr>
        <w:pStyle w:val="23"/>
        <w:rPr>
          <w:rFonts w:ascii="Times New Roman"/>
        </w:rPr>
      </w:pPr>
      <w:r>
        <w:rPr>
          <w:rFonts w:hint="eastAsia" w:ascii="Times New Roman"/>
        </w:rPr>
        <w:t>电池包是能量存储装置，通常包括电池单体、部件、高压电路、过流保护装置及与其他外部系统的接口（如冷却、高压、辅助低压和通信等）。图A.1是一个电池包的典型结构。</w:t>
      </w:r>
    </w:p>
    <w:p>
      <w:pPr>
        <w:pStyle w:val="23"/>
        <w:spacing w:before="156" w:beforeLines="50"/>
        <w:ind w:firstLine="0" w:firstLineChars="0"/>
        <w:jc w:val="center"/>
        <w:rPr>
          <w:rFonts w:ascii="Times New Roman"/>
        </w:rPr>
      </w:pPr>
      <w:r>
        <w:drawing>
          <wp:inline distT="0" distB="0" distL="0" distR="0">
            <wp:extent cx="3716655" cy="2297430"/>
            <wp:effectExtent l="0" t="0" r="0" b="762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23"/>
                    <a:stretch>
                      <a:fillRect/>
                    </a:stretch>
                  </pic:blipFill>
                  <pic:spPr>
                    <a:xfrm>
                      <a:off x="0" y="0"/>
                      <a:ext cx="3737557" cy="2310701"/>
                    </a:xfrm>
                    <a:prstGeom prst="rect">
                      <a:avLst/>
                    </a:prstGeom>
                  </pic:spPr>
                </pic:pic>
              </a:graphicData>
            </a:graphic>
          </wp:inline>
        </w:drawing>
      </w:r>
    </w:p>
    <w:p>
      <w:pPr>
        <w:ind w:firstLine="540"/>
        <w:rPr>
          <w:color w:val="000000"/>
          <w:sz w:val="18"/>
          <w:szCs w:val="18"/>
        </w:rPr>
      </w:pPr>
      <w:r>
        <w:rPr>
          <w:rFonts w:hint="eastAsia"/>
          <w:color w:val="000000"/>
          <w:sz w:val="18"/>
          <w:szCs w:val="18"/>
        </w:rPr>
        <w:t>说明</w:t>
      </w:r>
      <w:r>
        <w:rPr>
          <w:color w:val="000000"/>
          <w:sz w:val="18"/>
          <w:szCs w:val="18"/>
        </w:rPr>
        <w:t>：</w:t>
      </w:r>
    </w:p>
    <w:p>
      <w:pPr>
        <w:ind w:firstLine="540"/>
        <w:rPr>
          <w:color w:val="000000"/>
          <w:sz w:val="18"/>
          <w:szCs w:val="18"/>
        </w:rPr>
      </w:pPr>
      <w:r>
        <w:rPr>
          <w:color w:val="000000"/>
          <w:sz w:val="18"/>
          <w:szCs w:val="18"/>
        </w:rPr>
        <w:t>In——</w:t>
      </w:r>
      <w:r>
        <w:rPr>
          <w:rFonts w:hint="eastAsia"/>
          <w:color w:val="000000"/>
          <w:sz w:val="18"/>
          <w:szCs w:val="18"/>
        </w:rPr>
        <w:t>冷却介质进口；</w:t>
      </w:r>
    </w:p>
    <w:p>
      <w:pPr>
        <w:ind w:firstLine="540"/>
        <w:rPr>
          <w:color w:val="000000"/>
          <w:sz w:val="18"/>
          <w:szCs w:val="18"/>
        </w:rPr>
      </w:pPr>
      <w:r>
        <w:rPr>
          <w:color w:val="000000"/>
          <w:sz w:val="18"/>
          <w:szCs w:val="18"/>
        </w:rPr>
        <w:t>Out——</w:t>
      </w:r>
      <w:r>
        <w:rPr>
          <w:rFonts w:hint="eastAsia"/>
          <w:color w:val="000000"/>
          <w:sz w:val="18"/>
          <w:szCs w:val="18"/>
        </w:rPr>
        <w:t>冷却介质出</w:t>
      </w:r>
      <w:r>
        <w:rPr>
          <w:color w:val="000000"/>
          <w:sz w:val="18"/>
          <w:szCs w:val="18"/>
        </w:rPr>
        <w:t>口</w:t>
      </w:r>
      <w:r>
        <w:rPr>
          <w:rFonts w:hint="eastAsia"/>
          <w:color w:val="000000"/>
          <w:sz w:val="18"/>
          <w:szCs w:val="18"/>
        </w:rPr>
        <w:t>。</w:t>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图A.1</w:t>
      </w:r>
      <w:r>
        <w:rPr>
          <w:rFonts w:ascii="黑体" w:hAnsi="黑体" w:eastAsia="黑体"/>
        </w:rPr>
        <w:t xml:space="preserve"> </w:t>
      </w:r>
      <w:r>
        <w:rPr>
          <w:rFonts w:hint="eastAsia" w:ascii="黑体" w:hAnsi="黑体" w:eastAsia="黑体"/>
        </w:rPr>
        <w:t>电池包典型结构</w:t>
      </w:r>
    </w:p>
    <w:p>
      <w:pPr>
        <w:pStyle w:val="102"/>
        <w:tabs>
          <w:tab w:val="left" w:pos="360"/>
        </w:tabs>
        <w:spacing w:before="312" w:after="312"/>
        <w:ind w:left="0"/>
        <w:rPr>
          <w:rFonts w:ascii="Times New Roman"/>
        </w:rPr>
      </w:pPr>
      <w:bookmarkStart w:id="1244" w:name="_Toc512347143"/>
      <w:bookmarkStart w:id="1245" w:name="_Toc510644261"/>
      <w:bookmarkStart w:id="1246" w:name="_Toc512454294"/>
      <w:bookmarkStart w:id="1247" w:name="_Toc511045401"/>
      <w:bookmarkStart w:id="1248" w:name="_Toc501358507"/>
      <w:bookmarkStart w:id="1249" w:name="_Toc504059460"/>
      <w:bookmarkStart w:id="1250" w:name="_Toc513232569"/>
      <w:bookmarkStart w:id="1251" w:name="_Toc511831738"/>
      <w:bookmarkStart w:id="1252" w:name="_Toc513234381"/>
      <w:r>
        <w:rPr>
          <w:rFonts w:hint="eastAsia" w:ascii="Times New Roman"/>
        </w:rPr>
        <w:t>电池系统</w:t>
      </w:r>
      <w:bookmarkEnd w:id="1244"/>
      <w:bookmarkEnd w:id="1245"/>
      <w:bookmarkEnd w:id="1246"/>
      <w:bookmarkEnd w:id="1247"/>
      <w:bookmarkEnd w:id="1248"/>
      <w:bookmarkEnd w:id="1249"/>
      <w:bookmarkEnd w:id="1250"/>
      <w:bookmarkEnd w:id="1251"/>
      <w:bookmarkEnd w:id="1252"/>
    </w:p>
    <w:p>
      <w:pPr>
        <w:pStyle w:val="23"/>
      </w:pPr>
      <w:r>
        <w:rPr>
          <w:rFonts w:hint="eastAsia" w:ascii="Times New Roman"/>
        </w:rPr>
        <w:t>电池系统是能量存储装置，包括电池单体或电池包、电路和电控单元（如电池控制单元，电流接触器）。电池系统的典型结构有两种，分别是集成了电池控制单元的电池系统和带外置电池控制单元的电池系统，分别如图A.2和图A.3所示。</w:t>
      </w:r>
    </w:p>
    <w:p>
      <w:pPr>
        <w:pStyle w:val="23"/>
        <w:spacing w:before="156" w:beforeLines="50"/>
        <w:ind w:firstLine="0" w:firstLineChars="0"/>
        <w:jc w:val="center"/>
        <w:rPr>
          <w:rFonts w:ascii="Times New Roman"/>
        </w:rPr>
      </w:pPr>
      <w:r>
        <w:drawing>
          <wp:inline distT="0" distB="0" distL="0" distR="0">
            <wp:extent cx="3858895" cy="2423160"/>
            <wp:effectExtent l="0" t="0" r="8255"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24"/>
                    <a:stretch>
                      <a:fillRect/>
                    </a:stretch>
                  </pic:blipFill>
                  <pic:spPr>
                    <a:xfrm>
                      <a:off x="0" y="0"/>
                      <a:ext cx="3873521" cy="2432063"/>
                    </a:xfrm>
                    <a:prstGeom prst="rect">
                      <a:avLst/>
                    </a:prstGeom>
                  </pic:spPr>
                </pic:pic>
              </a:graphicData>
            </a:graphic>
          </wp:inline>
        </w:drawing>
      </w:r>
    </w:p>
    <w:p>
      <w:pPr>
        <w:rPr>
          <w:color w:val="000000"/>
          <w:sz w:val="18"/>
          <w:szCs w:val="18"/>
        </w:rPr>
      </w:pPr>
      <w:r>
        <w:rPr>
          <w:rFonts w:hint="eastAsia"/>
          <w:color w:val="000000"/>
          <w:sz w:val="18"/>
          <w:szCs w:val="18"/>
        </w:rPr>
        <w:t>说明</w:t>
      </w:r>
      <w:r>
        <w:rPr>
          <w:color w:val="000000"/>
          <w:sz w:val="18"/>
          <w:szCs w:val="18"/>
        </w:rPr>
        <w:t>：</w:t>
      </w:r>
    </w:p>
    <w:p>
      <w:pPr>
        <w:rPr>
          <w:color w:val="000000"/>
          <w:sz w:val="18"/>
          <w:szCs w:val="18"/>
        </w:rPr>
      </w:pPr>
      <w:r>
        <w:rPr>
          <w:color w:val="000000"/>
          <w:sz w:val="18"/>
          <w:szCs w:val="18"/>
        </w:rPr>
        <w:t>In——</w:t>
      </w:r>
      <w:r>
        <w:rPr>
          <w:rFonts w:hint="eastAsia"/>
          <w:color w:val="000000"/>
          <w:sz w:val="18"/>
          <w:szCs w:val="18"/>
        </w:rPr>
        <w:t>冷却介质进口；</w:t>
      </w:r>
    </w:p>
    <w:p>
      <w:pPr>
        <w:rPr>
          <w:color w:val="000000"/>
          <w:sz w:val="18"/>
          <w:szCs w:val="18"/>
        </w:rPr>
      </w:pPr>
      <w:r>
        <w:rPr>
          <w:color w:val="000000"/>
          <w:sz w:val="18"/>
          <w:szCs w:val="18"/>
        </w:rPr>
        <w:t>Out——</w:t>
      </w:r>
      <w:r>
        <w:rPr>
          <w:rFonts w:hint="eastAsia"/>
          <w:color w:val="000000"/>
          <w:sz w:val="18"/>
          <w:szCs w:val="18"/>
        </w:rPr>
        <w:t>冷却介质出</w:t>
      </w:r>
      <w:r>
        <w:rPr>
          <w:color w:val="000000"/>
          <w:sz w:val="18"/>
          <w:szCs w:val="18"/>
        </w:rPr>
        <w:t>口</w:t>
      </w:r>
      <w:r>
        <w:rPr>
          <w:rFonts w:hint="eastAsia"/>
          <w:color w:val="000000"/>
          <w:sz w:val="18"/>
          <w:szCs w:val="18"/>
        </w:rPr>
        <w:t>。</w:t>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w:t>
      </w:r>
      <w:r>
        <w:rPr>
          <w:rFonts w:ascii="黑体" w:hAnsi="黑体" w:eastAsia="黑体"/>
        </w:rPr>
        <w:t xml:space="preserve">A.2 </w:t>
      </w:r>
      <w:r>
        <w:rPr>
          <w:rFonts w:hint="eastAsia" w:ascii="黑体" w:hAnsi="黑体" w:eastAsia="黑体"/>
        </w:rPr>
        <w:t>含集成电池控制单元的电池系统典型结构</w:t>
      </w:r>
    </w:p>
    <w:p>
      <w:pPr>
        <w:pStyle w:val="23"/>
        <w:jc w:val="center"/>
        <w:rPr>
          <w:rFonts w:ascii="Times New Roman"/>
        </w:rPr>
      </w:pPr>
    </w:p>
    <w:p>
      <w:pPr>
        <w:pStyle w:val="23"/>
        <w:ind w:firstLine="0" w:firstLineChars="0"/>
        <w:jc w:val="center"/>
        <w:rPr>
          <w:rFonts w:ascii="Times New Roman"/>
        </w:rPr>
      </w:pPr>
      <w:r>
        <w:drawing>
          <wp:inline distT="0" distB="0" distL="0" distR="0">
            <wp:extent cx="3989705" cy="2600325"/>
            <wp:effectExtent l="0" t="0" r="0" b="9525"/>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25"/>
                    <a:stretch>
                      <a:fillRect/>
                    </a:stretch>
                  </pic:blipFill>
                  <pic:spPr>
                    <a:xfrm>
                      <a:off x="0" y="0"/>
                      <a:ext cx="4006287" cy="2611359"/>
                    </a:xfrm>
                    <a:prstGeom prst="rect">
                      <a:avLst/>
                    </a:prstGeom>
                  </pic:spPr>
                </pic:pic>
              </a:graphicData>
            </a:graphic>
          </wp:inline>
        </w:drawing>
      </w:r>
    </w:p>
    <w:p>
      <w:pPr>
        <w:rPr>
          <w:color w:val="000000"/>
          <w:sz w:val="18"/>
          <w:szCs w:val="18"/>
        </w:rPr>
      </w:pPr>
      <w:r>
        <w:rPr>
          <w:rFonts w:hint="eastAsia"/>
          <w:color w:val="000000"/>
          <w:sz w:val="18"/>
          <w:szCs w:val="18"/>
        </w:rPr>
        <w:t>说明</w:t>
      </w:r>
      <w:r>
        <w:rPr>
          <w:color w:val="000000"/>
          <w:sz w:val="18"/>
          <w:szCs w:val="18"/>
        </w:rPr>
        <w:t>：</w:t>
      </w:r>
    </w:p>
    <w:p>
      <w:pPr>
        <w:rPr>
          <w:color w:val="000000"/>
          <w:sz w:val="18"/>
          <w:szCs w:val="18"/>
        </w:rPr>
      </w:pPr>
      <w:r>
        <w:rPr>
          <w:color w:val="000000"/>
          <w:sz w:val="18"/>
          <w:szCs w:val="18"/>
        </w:rPr>
        <w:t>In——</w:t>
      </w:r>
      <w:r>
        <w:rPr>
          <w:rFonts w:hint="eastAsia"/>
          <w:color w:val="000000"/>
          <w:sz w:val="18"/>
          <w:szCs w:val="18"/>
        </w:rPr>
        <w:t>冷却介质进口；</w:t>
      </w:r>
    </w:p>
    <w:p>
      <w:pPr>
        <w:rPr>
          <w:color w:val="000000"/>
          <w:sz w:val="18"/>
          <w:szCs w:val="18"/>
        </w:rPr>
      </w:pPr>
      <w:r>
        <w:rPr>
          <w:color w:val="000000"/>
          <w:sz w:val="18"/>
          <w:szCs w:val="18"/>
        </w:rPr>
        <w:t>Out——</w:t>
      </w:r>
      <w:r>
        <w:rPr>
          <w:rFonts w:hint="eastAsia"/>
          <w:color w:val="000000"/>
          <w:sz w:val="18"/>
          <w:szCs w:val="18"/>
        </w:rPr>
        <w:t>冷却介质出</w:t>
      </w:r>
      <w:r>
        <w:rPr>
          <w:color w:val="000000"/>
          <w:sz w:val="18"/>
          <w:szCs w:val="18"/>
        </w:rPr>
        <w:t>口</w:t>
      </w:r>
      <w:r>
        <w:rPr>
          <w:rFonts w:hint="eastAsia"/>
          <w:color w:val="000000"/>
          <w:sz w:val="18"/>
          <w:szCs w:val="18"/>
        </w:rPr>
        <w:t>。</w:t>
      </w:r>
    </w:p>
    <w:p>
      <w:pPr>
        <w:pStyle w:val="23"/>
        <w:spacing w:before="156" w:beforeLines="50" w:after="156" w:afterLines="50"/>
        <w:ind w:firstLine="0" w:firstLineChars="0"/>
        <w:jc w:val="center"/>
        <w:rPr>
          <w:rFonts w:ascii="黑体" w:hAnsi="黑体" w:eastAsia="黑体"/>
        </w:rPr>
      </w:pPr>
      <w:r>
        <w:rPr>
          <w:rFonts w:hint="eastAsia" w:ascii="黑体" w:hAnsi="黑体" w:eastAsia="黑体"/>
        </w:rPr>
        <w:t>图</w:t>
      </w:r>
      <w:r>
        <w:rPr>
          <w:rFonts w:ascii="黑体" w:hAnsi="黑体" w:eastAsia="黑体"/>
        </w:rPr>
        <w:t xml:space="preserve">A.3 </w:t>
      </w:r>
      <w:r>
        <w:rPr>
          <w:rFonts w:hint="eastAsia" w:ascii="黑体" w:hAnsi="黑体" w:eastAsia="黑体"/>
        </w:rPr>
        <w:t>外置集成电池控制单元的电池系统典型结构</w:t>
      </w:r>
    </w:p>
    <w:p>
      <w:pPr>
        <w:widowControl/>
        <w:jc w:val="left"/>
        <w:rPr>
          <w:kern w:val="0"/>
          <w:szCs w:val="20"/>
        </w:rPr>
      </w:pPr>
      <w:r>
        <w:br w:type="page"/>
      </w:r>
    </w:p>
    <w:p>
      <w:pPr>
        <w:pStyle w:val="84"/>
        <w:tabs>
          <w:tab w:val="left" w:pos="360"/>
        </w:tabs>
        <w:rPr>
          <w:rFonts w:ascii="Times New Roman"/>
        </w:rPr>
      </w:pPr>
      <w:r>
        <w:rPr>
          <w:rFonts w:ascii="Times New Roman"/>
        </w:rPr>
        <w:br w:type="textWrapping"/>
      </w:r>
      <w:bookmarkStart w:id="1253" w:name="_Toc513234382"/>
      <w:r>
        <w:rPr>
          <w:rFonts w:ascii="Times New Roman"/>
        </w:rPr>
        <w:t>（</w:t>
      </w:r>
      <w:r>
        <w:rPr>
          <w:rFonts w:hint="eastAsia" w:ascii="Times New Roman"/>
        </w:rPr>
        <w:t>规范性</w:t>
      </w:r>
      <w:r>
        <w:rPr>
          <w:rFonts w:ascii="Times New Roman"/>
        </w:rPr>
        <w:t>附录）</w:t>
      </w:r>
      <w:r>
        <w:rPr>
          <w:rFonts w:ascii="Times New Roman"/>
        </w:rPr>
        <w:br w:type="textWrapping"/>
      </w:r>
      <w:r>
        <w:rPr>
          <w:rFonts w:hint="eastAsia" w:ascii="Times New Roman"/>
        </w:rPr>
        <w:t>电池包或系统绝缘电阻测试方法</w:t>
      </w:r>
      <w:bookmarkEnd w:id="1253"/>
    </w:p>
    <w:p>
      <w:pPr>
        <w:pStyle w:val="102"/>
        <w:wordWrap/>
        <w:spacing w:before="312" w:after="312"/>
        <w:ind w:left="0"/>
        <w:rPr>
          <w:rFonts w:ascii="Times New Roman"/>
        </w:rPr>
      </w:pPr>
      <w:bookmarkStart w:id="1254" w:name="_Toc513234383"/>
      <w:bookmarkStart w:id="1255" w:name="_Toc512347145"/>
      <w:bookmarkStart w:id="1256" w:name="_Toc504059462"/>
      <w:bookmarkStart w:id="1257" w:name="_Toc501358509"/>
      <w:bookmarkStart w:id="1258" w:name="_Toc510644263"/>
      <w:bookmarkStart w:id="1259" w:name="_Toc512454296"/>
      <w:bookmarkStart w:id="1260" w:name="_Toc513232571"/>
      <w:bookmarkStart w:id="1261" w:name="_Toc511045403"/>
      <w:bookmarkStart w:id="1262" w:name="_Toc511831740"/>
      <w:r>
        <w:rPr>
          <w:rFonts w:hint="eastAsia" w:ascii="Times New Roman"/>
        </w:rPr>
        <w:t>目的</w:t>
      </w:r>
      <w:bookmarkEnd w:id="1254"/>
      <w:bookmarkEnd w:id="1255"/>
      <w:bookmarkEnd w:id="1256"/>
      <w:bookmarkEnd w:id="1257"/>
      <w:bookmarkEnd w:id="1258"/>
      <w:bookmarkEnd w:id="1259"/>
      <w:bookmarkEnd w:id="1260"/>
      <w:bookmarkEnd w:id="1261"/>
      <w:bookmarkEnd w:id="1262"/>
    </w:p>
    <w:p>
      <w:pPr>
        <w:pStyle w:val="23"/>
        <w:rPr>
          <w:rFonts w:ascii="Times New Roman"/>
        </w:rPr>
      </w:pPr>
      <w:r>
        <w:rPr>
          <w:rFonts w:hint="eastAsia" w:ascii="Times New Roman"/>
        </w:rPr>
        <w:t>明确电池包或系统的绝缘电阻测试方法。</w:t>
      </w:r>
    </w:p>
    <w:p>
      <w:pPr>
        <w:pStyle w:val="102"/>
        <w:wordWrap/>
        <w:spacing w:before="312" w:after="312"/>
        <w:ind w:left="0"/>
        <w:rPr>
          <w:rFonts w:ascii="Times New Roman"/>
        </w:rPr>
      </w:pPr>
      <w:bookmarkStart w:id="1263" w:name="_Toc504059463"/>
      <w:bookmarkStart w:id="1264" w:name="_Toc513234384"/>
      <w:bookmarkStart w:id="1265" w:name="_Toc510644264"/>
      <w:bookmarkStart w:id="1266" w:name="_Toc513232572"/>
      <w:bookmarkStart w:id="1267" w:name="_Toc511831741"/>
      <w:bookmarkStart w:id="1268" w:name="_Toc501358510"/>
      <w:bookmarkStart w:id="1269" w:name="_Toc511045404"/>
      <w:bookmarkStart w:id="1270" w:name="_Toc512454297"/>
      <w:bookmarkStart w:id="1271" w:name="_Toc512347146"/>
      <w:r>
        <w:rPr>
          <w:rFonts w:hint="eastAsia" w:ascii="Times New Roman"/>
        </w:rPr>
        <w:t>试验条件</w:t>
      </w:r>
      <w:bookmarkEnd w:id="1263"/>
      <w:bookmarkEnd w:id="1264"/>
      <w:bookmarkEnd w:id="1265"/>
      <w:bookmarkEnd w:id="1266"/>
      <w:bookmarkEnd w:id="1267"/>
      <w:bookmarkEnd w:id="1268"/>
      <w:bookmarkEnd w:id="1269"/>
      <w:bookmarkEnd w:id="1270"/>
      <w:bookmarkEnd w:id="1271"/>
    </w:p>
    <w:p>
      <w:pPr>
        <w:pStyle w:val="23"/>
        <w:rPr>
          <w:rFonts w:ascii="Times New Roman"/>
          <w:kern w:val="21"/>
          <w:szCs w:val="21"/>
        </w:rPr>
      </w:pPr>
      <w:r>
        <w:rPr>
          <w:rFonts w:ascii="Times New Roman"/>
          <w:kern w:val="21"/>
          <w:szCs w:val="21"/>
        </w:rPr>
        <w:t>电池包</w:t>
      </w:r>
      <w:r>
        <w:rPr>
          <w:rFonts w:hint="eastAsia" w:ascii="Times New Roman"/>
          <w:kern w:val="21"/>
          <w:szCs w:val="21"/>
        </w:rPr>
        <w:t>或</w:t>
      </w:r>
      <w:r>
        <w:rPr>
          <w:rFonts w:ascii="Times New Roman"/>
          <w:kern w:val="21"/>
          <w:szCs w:val="21"/>
        </w:rPr>
        <w:t>系统均以制造商规定的</w:t>
      </w:r>
      <w:r>
        <w:rPr>
          <w:rFonts w:hint="eastAsia" w:ascii="Times New Roman"/>
          <w:kern w:val="21"/>
          <w:szCs w:val="21"/>
        </w:rPr>
        <w:t>完全</w:t>
      </w:r>
      <w:r>
        <w:rPr>
          <w:rFonts w:ascii="Times New Roman"/>
          <w:kern w:val="21"/>
          <w:szCs w:val="21"/>
        </w:rPr>
        <w:t>充电状态进行，</w:t>
      </w:r>
      <w:r>
        <w:rPr>
          <w:rFonts w:hint="eastAsia" w:ascii="Times New Roman"/>
          <w:kern w:val="21"/>
          <w:szCs w:val="21"/>
        </w:rPr>
        <w:t>试验环境</w:t>
      </w:r>
      <w:r>
        <w:rPr>
          <w:rFonts w:ascii="Times New Roman"/>
          <w:kern w:val="21"/>
          <w:szCs w:val="21"/>
        </w:rPr>
        <w:t xml:space="preserve">温度为22 </w:t>
      </w:r>
      <w:r>
        <w:rPr>
          <w:rFonts w:hint="eastAsia" w:hAnsi="宋体" w:cs="宋体"/>
          <w:kern w:val="21"/>
          <w:szCs w:val="21"/>
        </w:rPr>
        <w:t>℃</w:t>
      </w:r>
      <w:r>
        <w:rPr>
          <w:rFonts w:ascii="Times New Roman"/>
          <w:kern w:val="21"/>
          <w:szCs w:val="21"/>
        </w:rPr>
        <w:t xml:space="preserve">±5 </w:t>
      </w:r>
      <w:r>
        <w:rPr>
          <w:rFonts w:hint="eastAsia" w:hAnsi="宋体" w:cs="宋体"/>
          <w:kern w:val="21"/>
          <w:szCs w:val="21"/>
        </w:rPr>
        <w:t>℃</w:t>
      </w:r>
      <w:r>
        <w:rPr>
          <w:rFonts w:ascii="Times New Roman"/>
          <w:kern w:val="21"/>
          <w:szCs w:val="21"/>
        </w:rPr>
        <w:t>，湿度为15%~90%。</w:t>
      </w:r>
    </w:p>
    <w:p>
      <w:pPr>
        <w:pStyle w:val="23"/>
        <w:rPr>
          <w:rFonts w:ascii="Times New Roman"/>
          <w:kern w:val="21"/>
          <w:szCs w:val="21"/>
        </w:rPr>
      </w:pPr>
      <w:r>
        <w:rPr>
          <w:rFonts w:ascii="Times New Roman"/>
          <w:kern w:val="21"/>
          <w:szCs w:val="21"/>
        </w:rPr>
        <w:t>电压检测工具的内阻不小于10 MΩ。</w:t>
      </w:r>
      <w:r>
        <w:rPr>
          <w:rFonts w:hint="eastAsia" w:ascii="Times New Roman"/>
          <w:kern w:val="21"/>
          <w:szCs w:val="21"/>
        </w:rPr>
        <w:t>在测量时若绝缘监测功能会对电池包</w:t>
      </w:r>
      <w:r>
        <w:rPr>
          <w:rFonts w:ascii="Times New Roman"/>
          <w:kern w:val="21"/>
          <w:szCs w:val="21"/>
        </w:rPr>
        <w:t>或系统</w:t>
      </w:r>
      <w:r>
        <w:rPr>
          <w:rFonts w:hint="eastAsia" w:ascii="Times New Roman"/>
          <w:kern w:val="21"/>
          <w:szCs w:val="21"/>
        </w:rPr>
        <w:t>绝缘电阻的测试产生影响，则应将绝缘监测功能关闭或者将绝缘电阻监测单元从B级电压电路中断开，以免影响测量值，否则制造商可选择是否关闭绝缘监测功能或者将绝缘监测单元从B级电压电路中断开。</w:t>
      </w:r>
    </w:p>
    <w:p>
      <w:pPr>
        <w:pStyle w:val="102"/>
        <w:wordWrap/>
        <w:spacing w:before="312" w:after="312"/>
        <w:ind w:left="0"/>
        <w:rPr>
          <w:rFonts w:ascii="Times New Roman"/>
        </w:rPr>
      </w:pPr>
      <w:bookmarkStart w:id="1272" w:name="_Toc504059464"/>
      <w:bookmarkStart w:id="1273" w:name="_Toc513232573"/>
      <w:bookmarkStart w:id="1274" w:name="_Toc512347147"/>
      <w:bookmarkStart w:id="1275" w:name="_Toc501358511"/>
      <w:bookmarkStart w:id="1276" w:name="_Toc512454298"/>
      <w:bookmarkStart w:id="1277" w:name="_Toc511831742"/>
      <w:bookmarkStart w:id="1278" w:name="_Toc511045405"/>
      <w:bookmarkStart w:id="1279" w:name="_Toc513234385"/>
      <w:bookmarkStart w:id="1280" w:name="_Toc510644265"/>
      <w:r>
        <w:rPr>
          <w:rFonts w:hint="eastAsia" w:ascii="Times New Roman"/>
        </w:rPr>
        <w:t>绝缘电阻测试方法</w:t>
      </w:r>
      <w:bookmarkEnd w:id="1272"/>
      <w:bookmarkEnd w:id="1273"/>
      <w:bookmarkEnd w:id="1274"/>
      <w:bookmarkEnd w:id="1275"/>
      <w:bookmarkEnd w:id="1276"/>
      <w:bookmarkEnd w:id="1277"/>
      <w:bookmarkEnd w:id="1278"/>
      <w:bookmarkEnd w:id="1279"/>
      <w:bookmarkEnd w:id="1280"/>
    </w:p>
    <w:p>
      <w:pPr>
        <w:pStyle w:val="103"/>
        <w:spacing w:before="156" w:after="156"/>
      </w:pPr>
      <w:bookmarkStart w:id="1281" w:name="_Toc513232574"/>
      <w:bookmarkEnd w:id="1281"/>
      <w:bookmarkStart w:id="1282" w:name="_Toc512454299"/>
      <w:bookmarkStart w:id="1283" w:name="_Toc513234386"/>
      <w:bookmarkStart w:id="1284" w:name="_Toc511831743"/>
      <w:bookmarkStart w:id="1285" w:name="_Toc513232575"/>
      <w:bookmarkStart w:id="1286" w:name="_Toc504059465"/>
      <w:bookmarkStart w:id="1287" w:name="_Toc512347148"/>
      <w:bookmarkStart w:id="1288" w:name="_Toc501358512"/>
      <w:bookmarkStart w:id="1289" w:name="_Toc510644266"/>
      <w:bookmarkStart w:id="1290" w:name="_Toc511045406"/>
      <w:r>
        <w:rPr>
          <w:rFonts w:hint="eastAsia"/>
        </w:rPr>
        <w:t>方法1</w:t>
      </w:r>
      <w:bookmarkEnd w:id="1282"/>
      <w:bookmarkEnd w:id="1283"/>
      <w:bookmarkEnd w:id="1284"/>
      <w:bookmarkEnd w:id="1285"/>
      <w:bookmarkEnd w:id="1286"/>
      <w:bookmarkEnd w:id="1287"/>
      <w:bookmarkEnd w:id="1288"/>
      <w:bookmarkEnd w:id="1289"/>
      <w:bookmarkEnd w:id="1290"/>
    </w:p>
    <w:p>
      <w:pPr>
        <w:pStyle w:val="88"/>
        <w:spacing w:before="156" w:after="156"/>
        <w:rPr>
          <w:rFonts w:asciiTheme="minorEastAsia" w:hAnsiTheme="minorEastAsia" w:eastAsiaTheme="minorEastAsia"/>
        </w:rPr>
      </w:pPr>
      <w:r>
        <w:rPr>
          <w:rFonts w:asciiTheme="minorEastAsia" w:hAnsiTheme="minorEastAsia" w:eastAsiaTheme="minorEastAsia"/>
        </w:rPr>
        <w:t>使电池包</w:t>
      </w:r>
      <w:r>
        <w:rPr>
          <w:rFonts w:hint="eastAsia" w:asciiTheme="minorEastAsia" w:hAnsiTheme="minorEastAsia" w:eastAsiaTheme="minorEastAsia"/>
        </w:rPr>
        <w:t>或</w:t>
      </w:r>
      <w:r>
        <w:rPr>
          <w:rFonts w:asciiTheme="minorEastAsia" w:hAnsiTheme="minorEastAsia" w:eastAsiaTheme="minorEastAsia"/>
        </w:rPr>
        <w:t>系统</w:t>
      </w:r>
      <w:r>
        <w:rPr>
          <w:rFonts w:hint="eastAsia" w:asciiTheme="minorEastAsia" w:hAnsiTheme="minorEastAsia" w:eastAsiaTheme="minorEastAsia"/>
        </w:rPr>
        <w:t>内的电力</w:t>
      </w:r>
      <w:r>
        <w:rPr>
          <w:rFonts w:asciiTheme="minorEastAsia" w:hAnsiTheme="minorEastAsia" w:eastAsiaTheme="minorEastAsia"/>
        </w:rPr>
        <w:t>、电子开关激活以保证电池系统处于接通状态</w:t>
      </w:r>
      <w:r>
        <w:rPr>
          <w:rFonts w:hint="eastAsia" w:asciiTheme="minorEastAsia" w:hAnsiTheme="minorEastAsia" w:eastAsiaTheme="minorEastAsia"/>
        </w:rPr>
        <w:t>。</w:t>
      </w:r>
    </w:p>
    <w:p>
      <w:pPr>
        <w:pStyle w:val="88"/>
        <w:spacing w:before="156" w:after="156"/>
      </w:pPr>
      <w:r>
        <w:rPr>
          <w:rFonts w:hint="eastAsia" w:asciiTheme="minorEastAsia" w:hAnsiTheme="minorEastAsia" w:eastAsiaTheme="minorEastAsia"/>
        </w:rPr>
        <w:t>用相同的两个电压检测工具同时测量</w:t>
      </w:r>
      <w:r>
        <w:rPr>
          <w:rFonts w:asciiTheme="minorEastAsia" w:hAnsiTheme="minorEastAsia" w:eastAsiaTheme="minorEastAsia"/>
        </w:rPr>
        <w:t>电池包或系统</w:t>
      </w:r>
      <w:r>
        <w:rPr>
          <w:rFonts w:hint="eastAsia" w:asciiTheme="minorEastAsia" w:hAnsiTheme="minorEastAsia" w:eastAsiaTheme="minorEastAsia"/>
        </w:rPr>
        <w:t>的两个端子和电平台之间的电压,如图</w:t>
      </w:r>
      <w:r>
        <w:rPr>
          <w:rFonts w:ascii="Times New Roman"/>
        </w:rPr>
        <w:t>B.1</w:t>
      </w:r>
      <w:r>
        <w:rPr>
          <w:rFonts w:hint="eastAsia" w:asciiTheme="minorEastAsia" w:hAnsiTheme="minorEastAsia" w:eastAsiaTheme="minorEastAsia"/>
        </w:rPr>
        <w:t>中所示。待读数稳定，较高的一个为</w:t>
      </w:r>
      <w:r>
        <w:rPr>
          <w:rFonts w:ascii="Times New Roman"/>
          <w:i/>
        </w:rPr>
        <w:t>U</w:t>
      </w:r>
      <w:r>
        <w:rPr>
          <w:rFonts w:ascii="Times New Roman"/>
          <w:vertAlign w:val="subscript"/>
        </w:rPr>
        <w:t>1</w:t>
      </w:r>
      <w:r>
        <w:rPr>
          <w:rFonts w:hint="eastAsia" w:asciiTheme="minorEastAsia" w:hAnsiTheme="minorEastAsia" w:eastAsiaTheme="minorEastAsia"/>
        </w:rPr>
        <w:t>，较低的一个为</w:t>
      </w:r>
      <w:r>
        <w:rPr>
          <w:rFonts w:ascii="Times New Roman"/>
          <w:i/>
        </w:rPr>
        <w:t>U</w:t>
      </w:r>
      <w:r>
        <w:rPr>
          <w:rFonts w:ascii="Times New Roman"/>
          <w:vertAlign w:val="subscript"/>
        </w:rPr>
        <w:t>1</w:t>
      </w:r>
      <w:r>
        <w:rPr>
          <w:rFonts w:ascii="Times New Roman"/>
        </w:rPr>
        <w:t>`</w:t>
      </w:r>
      <w:r>
        <w:rPr>
          <w:rFonts w:hint="eastAsia" w:asciiTheme="minorEastAsia" w:hAnsiTheme="minorEastAsia" w:eastAsiaTheme="minorEastAsia"/>
        </w:rPr>
        <w:t>。</w:t>
      </w:r>
    </w:p>
    <w:p>
      <w:pPr>
        <w:pStyle w:val="59"/>
        <w:widowControl w:val="0"/>
        <w:spacing w:before="156" w:beforeLines="50" w:after="156" w:afterLines="50"/>
        <w:ind w:firstLine="360" w:firstLineChars="200"/>
        <w:rPr>
          <w:sz w:val="18"/>
          <w:szCs w:val="18"/>
        </w:rPr>
      </w:pPr>
      <w:r>
        <w:rPr>
          <w:rFonts w:hint="eastAsia" w:ascii="黑体" w:hAnsi="黑体" w:eastAsia="黑体"/>
          <w:sz w:val="18"/>
          <w:szCs w:val="18"/>
        </w:rPr>
        <w:t>注：</w:t>
      </w:r>
      <w:r>
        <w:rPr>
          <w:sz w:val="18"/>
          <w:szCs w:val="18"/>
        </w:rPr>
        <w:t>电池包或系统</w:t>
      </w:r>
      <w:r>
        <w:rPr>
          <w:rFonts w:hint="eastAsia"/>
          <w:sz w:val="18"/>
          <w:szCs w:val="18"/>
        </w:rPr>
        <w:t>的</w:t>
      </w:r>
      <w:r>
        <w:rPr>
          <w:sz w:val="18"/>
          <w:szCs w:val="18"/>
        </w:rPr>
        <w:t>电</w:t>
      </w:r>
      <w:r>
        <w:rPr>
          <w:rFonts w:hint="eastAsia"/>
          <w:sz w:val="18"/>
          <w:szCs w:val="18"/>
        </w:rPr>
        <w:t>平台可以是其与</w:t>
      </w:r>
      <w:r>
        <w:rPr>
          <w:sz w:val="18"/>
          <w:szCs w:val="18"/>
        </w:rPr>
        <w:t>整车电平台连接的</w:t>
      </w:r>
      <w:r>
        <w:rPr>
          <w:rFonts w:hint="eastAsia"/>
          <w:sz w:val="18"/>
          <w:szCs w:val="18"/>
        </w:rPr>
        <w:t>可导电</w:t>
      </w:r>
      <w:r>
        <w:rPr>
          <w:sz w:val="18"/>
          <w:szCs w:val="18"/>
        </w:rPr>
        <w:t>外壳。</w:t>
      </w:r>
    </w:p>
    <w:p>
      <w:pPr>
        <w:pStyle w:val="129"/>
        <w:spacing w:before="156" w:after="156"/>
        <w:ind w:left="420" w:hanging="420"/>
      </w:pPr>
      <w:r>
        <w:rPr>
          <w:rFonts w:ascii="宋体" w:hAnsi="宋体"/>
        </w:rPr>
        <mc:AlternateContent>
          <mc:Choice Requires="wpc">
            <w:drawing>
              <wp:inline distT="0" distB="0" distL="0" distR="0">
                <wp:extent cx="3239770" cy="1979930"/>
                <wp:effectExtent l="0" t="19050" r="0" b="1270"/>
                <wp:docPr id="58" name="画布 225"/>
                <wp:cNvGraphicFramePr/>
                <a:graphic xmlns:a="http://schemas.openxmlformats.org/drawingml/2006/main">
                  <a:graphicData uri="http://schemas.microsoft.com/office/word/2010/wordprocessingCanvas">
                    <wpc:wpc>
                      <wpc:bg>
                        <a:noFill/>
                      </wpc:bg>
                      <wpc:whole/>
                      <wps:wsp>
                        <wps:cNvPr id="26" name="Oval 67"/>
                        <wps:cNvSpPr>
                          <a:spLocks noChangeArrowheads="1"/>
                        </wps:cNvSpPr>
                        <wps:spPr bwMode="auto">
                          <a:xfrm>
                            <a:off x="554211" y="584108"/>
                            <a:ext cx="612000" cy="612000"/>
                          </a:xfrm>
                          <a:prstGeom prst="ellipse">
                            <a:avLst/>
                          </a:prstGeom>
                          <a:solidFill>
                            <a:srgbClr val="FFFFFF"/>
                          </a:solidFill>
                          <a:ln w="9525">
                            <a:solidFill>
                              <a:srgbClr val="000000"/>
                            </a:solidFill>
                            <a:round/>
                          </a:ln>
                        </wps:spPr>
                        <wps:txbx>
                          <w:txbxContent>
                            <w:p>
                              <w:pPr>
                                <w:jc w:val="center"/>
                                <w:rPr>
                                  <w:rFonts w:ascii="宋体" w:hAnsi="宋体"/>
                                  <w:szCs w:val="21"/>
                                </w:rPr>
                              </w:pPr>
                              <w:r>
                                <w:rPr>
                                  <w:rFonts w:hint="eastAsia" w:ascii="宋体" w:hAnsi="宋体"/>
                                  <w:szCs w:val="21"/>
                                </w:rPr>
                                <w:t>测试对象</w:t>
                              </w:r>
                            </w:p>
                          </w:txbxContent>
                        </wps:txbx>
                        <wps:bodyPr rot="0" vert="horz" wrap="square" lIns="62871" tIns="31438" rIns="62871" bIns="31438" anchor="ctr" anchorCtr="0" upright="1">
                          <a:noAutofit/>
                        </wps:bodyPr>
                      </wps:wsp>
                      <wps:wsp>
                        <wps:cNvPr id="28" name="AutoShape 69"/>
                        <wps:cNvCnPr>
                          <a:cxnSpLocks noChangeShapeType="1"/>
                        </wps:cNvCnPr>
                        <wps:spPr bwMode="auto">
                          <a:xfrm flipV="1">
                            <a:off x="848018" y="347805"/>
                            <a:ext cx="400" cy="236304"/>
                          </a:xfrm>
                          <a:prstGeom prst="straightConnector1">
                            <a:avLst/>
                          </a:prstGeom>
                          <a:noFill/>
                          <a:ln w="9525">
                            <a:solidFill>
                              <a:srgbClr val="000000"/>
                            </a:solidFill>
                            <a:round/>
                          </a:ln>
                        </wps:spPr>
                        <wps:bodyPr/>
                      </wps:wsp>
                      <wps:wsp>
                        <wps:cNvPr id="29" name="AutoShape 70"/>
                        <wps:cNvCnPr>
                          <a:cxnSpLocks noChangeShapeType="1"/>
                        </wps:cNvCnPr>
                        <wps:spPr bwMode="auto">
                          <a:xfrm>
                            <a:off x="847918" y="347305"/>
                            <a:ext cx="726916" cy="0"/>
                          </a:xfrm>
                          <a:prstGeom prst="straightConnector1">
                            <a:avLst/>
                          </a:prstGeom>
                          <a:noFill/>
                          <a:ln w="9525">
                            <a:solidFill>
                              <a:srgbClr val="000000"/>
                            </a:solidFill>
                            <a:round/>
                          </a:ln>
                        </wps:spPr>
                        <wps:bodyPr/>
                      </wps:wsp>
                      <wps:wsp>
                        <wps:cNvPr id="30" name="AutoShape 73"/>
                        <wps:cNvCnPr>
                          <a:cxnSpLocks noChangeShapeType="1"/>
                        </wps:cNvCnPr>
                        <wps:spPr bwMode="auto">
                          <a:xfrm>
                            <a:off x="854945" y="1387594"/>
                            <a:ext cx="714115" cy="1000"/>
                          </a:xfrm>
                          <a:prstGeom prst="straightConnector1">
                            <a:avLst/>
                          </a:prstGeom>
                          <a:noFill/>
                          <a:ln w="9525">
                            <a:solidFill>
                              <a:srgbClr val="000000"/>
                            </a:solidFill>
                            <a:round/>
                          </a:ln>
                        </wps:spPr>
                        <wps:bodyPr/>
                      </wps:wsp>
                      <wps:wsp>
                        <wps:cNvPr id="31" name="AutoShape 74"/>
                        <wps:cNvCnPr>
                          <a:cxnSpLocks noChangeShapeType="1"/>
                        </wps:cNvCnPr>
                        <wps:spPr bwMode="auto">
                          <a:xfrm>
                            <a:off x="24201" y="26300"/>
                            <a:ext cx="3049466" cy="400"/>
                          </a:xfrm>
                          <a:prstGeom prst="straightConnector1">
                            <a:avLst/>
                          </a:prstGeom>
                          <a:noFill/>
                          <a:ln w="25400">
                            <a:solidFill>
                              <a:srgbClr val="000000"/>
                            </a:solidFill>
                            <a:round/>
                          </a:ln>
                        </wps:spPr>
                        <wps:bodyPr/>
                      </wps:wsp>
                      <wps:wsp>
                        <wps:cNvPr id="32" name="AutoShape 75"/>
                        <wps:cNvCnPr>
                          <a:cxnSpLocks noChangeShapeType="1"/>
                        </wps:cNvCnPr>
                        <wps:spPr bwMode="auto">
                          <a:xfrm>
                            <a:off x="42101" y="1715726"/>
                            <a:ext cx="3049566" cy="400"/>
                          </a:xfrm>
                          <a:prstGeom prst="straightConnector1">
                            <a:avLst/>
                          </a:prstGeom>
                          <a:noFill/>
                          <a:ln w="25400">
                            <a:solidFill>
                              <a:srgbClr val="000000"/>
                            </a:solidFill>
                            <a:round/>
                          </a:ln>
                        </wps:spPr>
                        <wps:bodyPr/>
                      </wps:wsp>
                      <wps:wsp>
                        <wps:cNvPr id="33" name="AutoShape 76"/>
                        <wps:cNvCnPr>
                          <a:cxnSpLocks noChangeShapeType="1"/>
                        </wps:cNvCnPr>
                        <wps:spPr bwMode="auto">
                          <a:xfrm>
                            <a:off x="851218" y="1205826"/>
                            <a:ext cx="1500" cy="180000"/>
                          </a:xfrm>
                          <a:prstGeom prst="straightConnector1">
                            <a:avLst/>
                          </a:prstGeom>
                          <a:noFill/>
                          <a:ln w="9525">
                            <a:solidFill>
                              <a:srgbClr val="000000"/>
                            </a:solidFill>
                            <a:round/>
                          </a:ln>
                        </wps:spPr>
                        <wps:bodyPr/>
                      </wps:wsp>
                      <wps:wsp>
                        <wps:cNvPr id="34" name="Text Box 77"/>
                        <wps:cNvSpPr txBox="1">
                          <a:spLocks noChangeArrowheads="1"/>
                        </wps:cNvSpPr>
                        <wps:spPr bwMode="auto">
                          <a:xfrm>
                            <a:off x="2693058" y="26700"/>
                            <a:ext cx="528911" cy="260804"/>
                          </a:xfrm>
                          <a:prstGeom prst="rect">
                            <a:avLst/>
                          </a:prstGeom>
                          <a:noFill/>
                          <a:ln>
                            <a:noFill/>
                          </a:ln>
                        </wps:spPr>
                        <wps:txbx>
                          <w:txbxContent>
                            <w:p>
                              <w:pPr>
                                <w:rPr>
                                  <w:rFonts w:ascii="宋体" w:hAnsi="宋体"/>
                                  <w:szCs w:val="21"/>
                                </w:rPr>
                              </w:pPr>
                              <w:r>
                                <w:rPr>
                                  <w:rFonts w:hint="eastAsia" w:ascii="宋体" w:hAnsi="宋体"/>
                                  <w:szCs w:val="21"/>
                                </w:rPr>
                                <w:t>电平台</w:t>
                              </w:r>
                            </w:p>
                          </w:txbxContent>
                        </wps:txbx>
                        <wps:bodyPr rot="0" vert="horz" wrap="square" lIns="62871" tIns="31438" rIns="62871" bIns="31438" anchor="t" anchorCtr="0" upright="1">
                          <a:noAutofit/>
                        </wps:bodyPr>
                      </wps:wsp>
                      <wps:wsp>
                        <wps:cNvPr id="35" name="Text Box 78"/>
                        <wps:cNvSpPr txBox="1">
                          <a:spLocks noChangeArrowheads="1"/>
                        </wps:cNvSpPr>
                        <wps:spPr bwMode="auto">
                          <a:xfrm>
                            <a:off x="2714459" y="1722626"/>
                            <a:ext cx="528911" cy="260804"/>
                          </a:xfrm>
                          <a:prstGeom prst="rect">
                            <a:avLst/>
                          </a:prstGeom>
                          <a:noFill/>
                          <a:ln>
                            <a:noFill/>
                          </a:ln>
                        </wps:spPr>
                        <wps:txbx>
                          <w:txbxContent>
                            <w:p>
                              <w:pPr>
                                <w:rPr>
                                  <w:rFonts w:ascii="宋体" w:hAnsi="宋体"/>
                                  <w:szCs w:val="21"/>
                                </w:rPr>
                              </w:pPr>
                              <w:r>
                                <w:rPr>
                                  <w:rFonts w:hint="eastAsia" w:ascii="宋体" w:hAnsi="宋体"/>
                                  <w:szCs w:val="21"/>
                                </w:rPr>
                                <w:t>电平台</w:t>
                              </w:r>
                            </w:p>
                          </w:txbxContent>
                        </wps:txbx>
                        <wps:bodyPr rot="0" vert="horz" wrap="square" lIns="62871" tIns="31438" rIns="62871" bIns="31438" anchor="t" anchorCtr="0" upright="1">
                          <a:noAutofit/>
                        </wps:bodyPr>
                      </wps:wsp>
                      <wps:wsp>
                        <wps:cNvPr id="36" name="AutoShape 79"/>
                        <wps:cNvCnPr>
                          <a:cxnSpLocks noChangeShapeType="1"/>
                        </wps:cNvCnPr>
                        <wps:spPr bwMode="auto">
                          <a:xfrm>
                            <a:off x="1531033" y="26700"/>
                            <a:ext cx="400" cy="320605"/>
                          </a:xfrm>
                          <a:prstGeom prst="straightConnector1">
                            <a:avLst/>
                          </a:prstGeom>
                          <a:noFill/>
                          <a:ln w="9525">
                            <a:solidFill>
                              <a:srgbClr val="000000"/>
                            </a:solidFill>
                            <a:round/>
                            <a:headEnd type="triangle" w="med" len="med"/>
                            <a:tailEnd type="triangle" w="med" len="med"/>
                          </a:ln>
                        </wps:spPr>
                        <wps:bodyPr/>
                      </wps:wsp>
                      <wps:wsp>
                        <wps:cNvPr id="37" name="AutoShape 80"/>
                        <wps:cNvCnPr>
                          <a:cxnSpLocks noChangeShapeType="1"/>
                        </wps:cNvCnPr>
                        <wps:spPr bwMode="auto">
                          <a:xfrm>
                            <a:off x="1530933" y="1395521"/>
                            <a:ext cx="400" cy="320605"/>
                          </a:xfrm>
                          <a:prstGeom prst="straightConnector1">
                            <a:avLst/>
                          </a:prstGeom>
                          <a:noFill/>
                          <a:ln w="9525">
                            <a:solidFill>
                              <a:srgbClr val="000000"/>
                            </a:solidFill>
                            <a:round/>
                            <a:headEnd type="triangle" w="med" len="med"/>
                            <a:tailEnd type="triangle" w="med" len="med"/>
                          </a:ln>
                        </wps:spPr>
                        <wps:bodyPr/>
                      </wps:wsp>
                      <wps:wsp>
                        <wps:cNvPr id="38" name="AutoShape 81"/>
                        <wps:cNvCnPr>
                          <a:cxnSpLocks noChangeShapeType="1"/>
                        </wps:cNvCnPr>
                        <wps:spPr bwMode="auto">
                          <a:xfrm flipH="1">
                            <a:off x="1366730" y="347805"/>
                            <a:ext cx="5600" cy="1046816"/>
                          </a:xfrm>
                          <a:prstGeom prst="straightConnector1">
                            <a:avLst/>
                          </a:prstGeom>
                          <a:noFill/>
                          <a:ln w="9525">
                            <a:solidFill>
                              <a:srgbClr val="000000"/>
                            </a:solidFill>
                            <a:round/>
                            <a:headEnd type="triangle" w="med" len="med"/>
                            <a:tailEnd type="triangle" w="med" len="med"/>
                          </a:ln>
                        </wps:spPr>
                        <wps:bodyPr/>
                      </wps:wsp>
                      <wps:wsp>
                        <wps:cNvPr id="39" name="Text Box 82"/>
                        <wps:cNvSpPr txBox="1">
                          <a:spLocks noChangeArrowheads="1"/>
                        </wps:cNvSpPr>
                        <wps:spPr bwMode="auto">
                          <a:xfrm>
                            <a:off x="1225526" y="695311"/>
                            <a:ext cx="303707" cy="346605"/>
                          </a:xfrm>
                          <a:prstGeom prst="rect">
                            <a:avLst/>
                          </a:prstGeom>
                          <a:solidFill>
                            <a:srgbClr val="FFFFFF"/>
                          </a:solidFill>
                          <a:ln>
                            <a:noFill/>
                          </a:ln>
                        </wps:spPr>
                        <wps:txbx>
                          <w:txbxContent>
                            <w:p>
                              <w:pPr>
                                <w:jc w:val="center"/>
                                <w:rPr>
                                  <w:i/>
                                  <w:szCs w:val="21"/>
                                  <w:vertAlign w:val="subscript"/>
                                </w:rPr>
                              </w:pPr>
                              <w:r>
                                <w:rPr>
                                  <w:i/>
                                  <w:szCs w:val="21"/>
                                </w:rPr>
                                <w:t>U</w:t>
                              </w:r>
                            </w:p>
                          </w:txbxContent>
                        </wps:txbx>
                        <wps:bodyPr rot="0" vert="horz" wrap="square" lIns="62871" tIns="31438" rIns="62871" bIns="31438" anchor="ctr" anchorCtr="0" upright="1">
                          <a:noAutofit/>
                        </wps:bodyPr>
                      </wps:wsp>
                      <wps:wsp>
                        <wps:cNvPr id="43" name="Text Box 83"/>
                        <wps:cNvSpPr txBox="1">
                          <a:spLocks noChangeArrowheads="1"/>
                        </wps:cNvSpPr>
                        <wps:spPr bwMode="auto">
                          <a:xfrm>
                            <a:off x="1534033" y="45701"/>
                            <a:ext cx="516911" cy="301605"/>
                          </a:xfrm>
                          <a:prstGeom prst="rect">
                            <a:avLst/>
                          </a:prstGeom>
                          <a:noFill/>
                          <a:ln>
                            <a:noFill/>
                          </a:ln>
                        </wps:spPr>
                        <wps:txbx>
                          <w:txbxContent>
                            <w:p>
                              <w:pPr>
                                <w:rPr>
                                  <w:i/>
                                  <w:color w:val="000000" w:themeColor="text1"/>
                                  <w:szCs w:val="21"/>
                                  <w:vertAlign w:val="superscript"/>
                                  <w14:textFill>
                                    <w14:solidFill>
                                      <w14:schemeClr w14:val="tx1"/>
                                    </w14:solidFill>
                                  </w14:textFill>
                                </w:rPr>
                              </w:pPr>
                              <w:r>
                                <w:rPr>
                                  <w:i/>
                                  <w:color w:val="000000" w:themeColor="text1"/>
                                  <w:szCs w:val="21"/>
                                  <w14:textFill>
                                    <w14:solidFill>
                                      <w14:schemeClr w14:val="tx1"/>
                                    </w14:solidFill>
                                  </w14:textFill>
                                </w:rPr>
                                <w:t>U</w:t>
                              </w:r>
                              <w:r>
                                <w:rPr>
                                  <w:color w:val="000000" w:themeColor="text1"/>
                                  <w:szCs w:val="21"/>
                                  <w:vertAlign w:val="subscript"/>
                                  <w14:textFill>
                                    <w14:solidFill>
                                      <w14:schemeClr w14:val="tx1"/>
                                    </w14:solidFill>
                                  </w14:textFill>
                                </w:rPr>
                                <w:t>1</w:t>
                              </w:r>
                              <w:r>
                                <w:rPr>
                                  <w:i/>
                                  <w:color w:val="000000" w:themeColor="text1"/>
                                  <w:szCs w:val="21"/>
                                  <w:vertAlign w:val="superscript"/>
                                  <w14:textFill>
                                    <w14:solidFill>
                                      <w14:schemeClr w14:val="tx1"/>
                                    </w14:solidFill>
                                  </w14:textFill>
                                </w:rPr>
                                <w:t>`</w:t>
                              </w:r>
                            </w:p>
                          </w:txbxContent>
                        </wps:txbx>
                        <wps:bodyPr rot="0" vert="horz" wrap="square" lIns="62871" tIns="31438" rIns="62871" bIns="31438" anchor="ctr" anchorCtr="0" upright="1">
                          <a:noAutofit/>
                        </wps:bodyPr>
                      </wps:wsp>
                      <wps:wsp>
                        <wps:cNvPr id="44" name="Text Box 84"/>
                        <wps:cNvSpPr txBox="1">
                          <a:spLocks noChangeArrowheads="1"/>
                        </wps:cNvSpPr>
                        <wps:spPr bwMode="auto">
                          <a:xfrm>
                            <a:off x="1528833" y="1409921"/>
                            <a:ext cx="516911" cy="301605"/>
                          </a:xfrm>
                          <a:prstGeom prst="rect">
                            <a:avLst/>
                          </a:prstGeom>
                          <a:noFill/>
                          <a:ln>
                            <a:noFill/>
                          </a:ln>
                        </wps:spPr>
                        <wps:txbx>
                          <w:txbxContent>
                            <w:p>
                              <w:pPr>
                                <w:rPr>
                                  <w:i/>
                                  <w:szCs w:val="21"/>
                                  <w:vertAlign w:val="superscript"/>
                                </w:rPr>
                              </w:pPr>
                              <w:r>
                                <w:rPr>
                                  <w:i/>
                                  <w:szCs w:val="21"/>
                                </w:rPr>
                                <w:t>U</w:t>
                              </w:r>
                              <w:r>
                                <w:rPr>
                                  <w:szCs w:val="21"/>
                                  <w:vertAlign w:val="subscript"/>
                                </w:rPr>
                                <w:t>1</w:t>
                              </w:r>
                            </w:p>
                          </w:txbxContent>
                        </wps:txbx>
                        <wps:bodyPr rot="0" vert="horz" wrap="square" lIns="62871" tIns="31438" rIns="62871" bIns="31438" anchor="ctr" anchorCtr="0" upright="1">
                          <a:noAutofit/>
                        </wps:bodyPr>
                      </wps:wsp>
                    </wpc:wpc>
                  </a:graphicData>
                </a:graphic>
              </wp:inline>
            </w:drawing>
          </mc:Choice>
          <mc:Fallback>
            <w:pict>
              <v:group id="画布 225" o:spid="_x0000_s1026" o:spt="203" style="height:155.9pt;width:255.1pt;" coordsize="3239770,1979930" editas="canvas" o:gfxdata="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AngMTZ1gAAAAUBAAAPAAAAAAAAAAEAIAAAACIAAABkcnMv&#10;ZG93bnJldi54bWxQSwECFAAUAAAACACHTuJAovb4lpUFAABCIwAADgAAAAAAAAABACAAAAAlAQAA&#10;ZHJzL2Uyb0RvYy54bWxQSwUGAAAAAAYABgBZAQAALAkAAAAA&#10;">
                <o:lock v:ext="edit" aspectratio="f"/>
                <v:shape id="画布 225" o:spid="_x0000_s1026" style="position:absolute;left:0;top:0;height:1979930;width:3239770;" filled="f" stroked="f" coordsize="21600,21600" o:gfxdata="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">
                  <v:fill on="f" focussize="0,0"/>
                  <v:stroke on="f"/>
                  <v:imagedata o:title=""/>
                  <o:lock v:ext="edit" aspectratio="f"/>
                </v:shape>
                <v:shape id="Oval 67" o:spid="_x0000_s1026" o:spt="3" type="#_x0000_t3" style="position:absolute;left:554211;top:584108;height:612000;width:612000;v-text-anchor:middle;" fillcolor="#FFFFFF" filled="t" stroked="t" coordsize="21600,21600" o:gfxdata="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I5IN1AAAAAUBAAAPAAAAAAAAAAEAIAAAACIAAABkcnMvZG93bnJldi54bWxQ&#10;SwECFAAUAAAACACHTuJAFToH9jQCAAB7BAAADgAAAAAAAAABACAAAAAjAQAAZHJzL2Uyb0RvYy54&#10;bWxQSwUGAAAAAAYABgBZAQAAyQUAAAAA&#10;">
                  <v:fill on="t" focussize="0,0"/>
                  <v:stroke color="#000000" joinstyle="round"/>
                  <v:imagedata o:title=""/>
                  <o:lock v:ext="edit" aspectratio="f"/>
                  <v:textbox inset="4.95047244094488pt,2.47543307086614pt,4.95047244094488pt,2.47543307086614pt">
                    <w:txbxContent>
                      <w:p>
                        <w:pPr>
                          <w:jc w:val="center"/>
                          <w:rPr>
                            <w:rFonts w:ascii="宋体" w:hAnsi="宋体"/>
                            <w:szCs w:val="21"/>
                          </w:rPr>
                        </w:pPr>
                        <w:r>
                          <w:rPr>
                            <w:rFonts w:hint="eastAsia" w:ascii="宋体" w:hAnsi="宋体"/>
                            <w:szCs w:val="21"/>
                          </w:rPr>
                          <w:t>测试对象</w:t>
                        </w:r>
                      </w:p>
                    </w:txbxContent>
                  </v:textbox>
                </v:shape>
                <v:shape id="AutoShape 69" o:spid="_x0000_s1026" o:spt="32" type="#_x0000_t32" style="position:absolute;left:848018;top:347805;flip:y;height:236304;width:400;" filled="f" stroked="t" coordsize="21600,21600" o:gfxdata="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5iN1H1AAA&#10;AAUBAAAPAAAAAAAAAAEAIAAAACIAAABkcnMvZG93bnJldi54bWxQSwECFAAUAAAACACHTuJARcFN&#10;1OkBAADJAwAADgAAAAAAAAABACAAAAAjAQAAZHJzL2Uyb0RvYy54bWxQSwUGAAAAAAYABgBZAQAA&#10;fgUAAAAA&#10;">
                  <v:fill on="f" focussize="0,0"/>
                  <v:stroke color="#000000" joinstyle="round"/>
                  <v:imagedata o:title=""/>
                  <o:lock v:ext="edit" aspectratio="f"/>
                </v:shape>
                <v:shape id="AutoShape 70" o:spid="_x0000_s1026" o:spt="32" type="#_x0000_t32" style="position:absolute;left:847918;top:347305;height:0;width:726916;"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RYSXDUAAAABQEA&#10;AA8AAAAAAAAAAQAgAAAAIgAAAGRycy9kb3ducmV2LnhtbFBLAQIUABQAAAAIAIdO4kB+f1x45QEA&#10;AL0DAAAOAAAAAAAAAAEAIAAAACMBAABkcnMvZTJvRG9jLnhtbFBLBQYAAAAABgAGAFkBAAB6BQAA&#10;AAA=&#10;">
                  <v:fill on="f" focussize="0,0"/>
                  <v:stroke color="#000000" joinstyle="round"/>
                  <v:imagedata o:title=""/>
                  <o:lock v:ext="edit" aspectratio="f"/>
                </v:shape>
                <v:shape id="AutoShape 73" o:spid="_x0000_s1026" o:spt="32" type="#_x0000_t32" style="position:absolute;left:854945;top:1387594;height:1000;width:714115;"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FhJcNQAAAAF&#10;AQAADwAAAAAAAAABACAAAAAiAAAAZHJzL2Rvd25yZXYueG1sUEsBAhQAFAAAAAgAh07iQG6uSEbn&#10;AQAAwQMAAA4AAAAAAAAAAQAgAAAAIwEAAGRycy9lMm9Eb2MueG1sUEsFBgAAAAAGAAYAWQEAAHwF&#10;AAAAAA==&#10;">
                  <v:fill on="f" focussize="0,0"/>
                  <v:stroke color="#000000" joinstyle="round"/>
                  <v:imagedata o:title=""/>
                  <o:lock v:ext="edit" aspectratio="f"/>
                </v:shape>
                <v:shape id="AutoShape 74" o:spid="_x0000_s1026" o:spt="32" type="#_x0000_t32" style="position:absolute;left:24201;top:26300;height:400;width:3049466;" filled="f" stroked="t" coordsize="21600,21600" o:gfxdata="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1RyAHUAAAABQEAAA8AAAAA&#10;AAAAAQAgAAAAIgAAAGRycy9kb3ducmV2LnhtbFBLAQIUABQAAAAIAIdO4kACcXXN3wEAAL8DAAAO&#10;AAAAAAAAAAEAIAAAACMBAABkcnMvZTJvRG9jLnhtbFBLBQYAAAAABgAGAFkBAAB0BQAAAAA=&#10;">
                  <v:fill on="f" focussize="0,0"/>
                  <v:stroke weight="2pt" color="#000000" joinstyle="round"/>
                  <v:imagedata o:title=""/>
                  <o:lock v:ext="edit" aspectratio="f"/>
                </v:shape>
                <v:shape id="AutoShape 75" o:spid="_x0000_s1026" o:spt="32" type="#_x0000_t32" style="position:absolute;left:42101;top:1715726;height:400;width:3049566;" filled="f" stroked="t" coordsize="21600,21600" o:gfxdata="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1RyAHUAAAABQEA&#10;AA8AAAAAAAAAAQAgAAAAIgAAAGRycy9kb3ducmV2LnhtbFBLAQIUABQAAAAIAIdO4kCilFju5QEA&#10;AMEDAAAOAAAAAAAAAAEAIAAAACMBAABkcnMvZTJvRG9jLnhtbFBLBQYAAAAABgAGAFkBAAB6BQAA&#10;AAA=&#10;">
                  <v:fill on="f" focussize="0,0"/>
                  <v:stroke weight="2pt" color="#000000" joinstyle="round"/>
                  <v:imagedata o:title=""/>
                  <o:lock v:ext="edit" aspectratio="f"/>
                </v:shape>
                <v:shape id="AutoShape 76" o:spid="_x0000_s1026" o:spt="32" type="#_x0000_t32" style="position:absolute;left:851218;top:1205826;height:180000;width:1500;"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EWElw1AAAAAUBAAAP&#10;AAAAAAAAAAEAIAAAACIAAABkcnMvZG93bnJldi54bWxQSwECFAAUAAAACACHTuJAzGFzx+MBAADB&#10;AwAADgAAAAAAAAABACAAAAAjAQAAZHJzL2Uyb0RvYy54bWxQSwUGAAAAAAYABgBZAQAAeAUAAAAA&#10;">
                  <v:fill on="f" focussize="0,0"/>
                  <v:stroke color="#000000" joinstyle="round"/>
                  <v:imagedata o:title=""/>
                  <o:lock v:ext="edit" aspectratio="f"/>
                </v:shape>
                <v:shape id="Text Box 77" o:spid="_x0000_s1026" o:spt="202" type="#_x0000_t202" style="position:absolute;left:2693058;top:26700;height:260804;width:528911;" filled="f" stroked="f" coordsize="21600,21600" o:gfxdata="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H9gTdUAAAAFAQAADwAAAAAAAAABACAA&#10;AAAiAAAAZHJzL2Rvd25yZXYueG1sUEsBAhQAFAAAAAgAh07iQBRLvgAQAgAAHwQAAA4AAAAAAAAA&#10;AQAgAAAAJAEAAGRycy9lMm9Eb2MueG1sUEsFBgAAAAAGAAYAWQEAAKYFAAAAAA==&#10;">
                  <v:fill on="f" focussize="0,0"/>
                  <v:stroke on="f"/>
                  <v:imagedata o:title=""/>
                  <o:lock v:ext="edit" aspectratio="f"/>
                  <v:textbox inset="4.95047244094488pt,2.47543307086614pt,4.95047244094488pt,2.47543307086614pt">
                    <w:txbxContent>
                      <w:p>
                        <w:pPr>
                          <w:rPr>
                            <w:rFonts w:ascii="宋体" w:hAnsi="宋体"/>
                            <w:szCs w:val="21"/>
                          </w:rPr>
                        </w:pPr>
                        <w:r>
                          <w:rPr>
                            <w:rFonts w:hint="eastAsia" w:ascii="宋体" w:hAnsi="宋体"/>
                            <w:szCs w:val="21"/>
                          </w:rPr>
                          <w:t>电平台</w:t>
                        </w:r>
                      </w:p>
                    </w:txbxContent>
                  </v:textbox>
                </v:shape>
                <v:shape id="Text Box 78" o:spid="_x0000_s1026" o:spt="202" type="#_x0000_t202" style="position:absolute;left:2714459;top:1722626;height:260804;width:528911;" filled="f" stroked="f" coordsize="21600,21600" o:gfxdata="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0f2BN1QAAAAUBAAAPAAAAAAAA&#10;AAEAIAAAACIAAABkcnMvZG93bnJldi54bWxQSwECFAAUAAAACACHTuJAjfWh4BUCAAAhBAAADgAA&#10;AAAAAAABACAAAAAkAQAAZHJzL2Uyb0RvYy54bWxQSwUGAAAAAAYABgBZAQAAqwUAAAAA&#10;">
                  <v:fill on="f" focussize="0,0"/>
                  <v:stroke on="f"/>
                  <v:imagedata o:title=""/>
                  <o:lock v:ext="edit" aspectratio="f"/>
                  <v:textbox inset="4.95047244094488pt,2.47543307086614pt,4.95047244094488pt,2.47543307086614pt">
                    <w:txbxContent>
                      <w:p>
                        <w:pPr>
                          <w:rPr>
                            <w:rFonts w:ascii="宋体" w:hAnsi="宋体"/>
                            <w:szCs w:val="21"/>
                          </w:rPr>
                        </w:pPr>
                        <w:r>
                          <w:rPr>
                            <w:rFonts w:hint="eastAsia" w:ascii="宋体" w:hAnsi="宋体"/>
                            <w:szCs w:val="21"/>
                          </w:rPr>
                          <w:t>电平台</w:t>
                        </w:r>
                      </w:p>
                    </w:txbxContent>
                  </v:textbox>
                </v:shape>
                <v:shape id="AutoShape 79" o:spid="_x0000_s1026" o:spt="32" type="#_x0000_t32" style="position:absolute;left:1531033;top:26700;height:320605;width:400;" filled="f" stroked="t" coordsize="21600,21600" o:gfxdata="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Y0kN9UAAAAFAQAADwAAAAAAAAABACAAAAAiAAAAZHJzL2Rv&#10;d25yZXYueG1sUEsBAhQAFAAAAAgAh07iQO2MmV0EAgAAGwQAAA4AAAAAAAAAAQAgAAAAJAEAAGRy&#10;cy9lMm9Eb2MueG1sUEsFBgAAAAAGAAYAWQEAAJoFAAAAAA==&#10;">
                  <v:fill on="f" focussize="0,0"/>
                  <v:stroke color="#000000" joinstyle="round" startarrow="block" endarrow="block"/>
                  <v:imagedata o:title=""/>
                  <o:lock v:ext="edit" aspectratio="f"/>
                </v:shape>
                <v:shape id="AutoShape 80" o:spid="_x0000_s1026" o:spt="32" type="#_x0000_t32" style="position:absolute;left:1530933;top:1395521;height:320605;width:400;" filled="f" stroked="t" coordsize="21600,21600" o:gfxdata="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9jSQ31QAAAAUBAAAPAAAAAAAAAAEAIAAAACIAAABkcnMv&#10;ZG93bnJldi54bWxQSwECFAAUAAAACACHTuJAdLVL0gYCAAAdBAAADgAAAAAAAAABACAAAAAkAQAA&#10;ZHJzL2Uyb0RvYy54bWxQSwUGAAAAAAYABgBZAQAAnAUAAAAA&#10;">
                  <v:fill on="f" focussize="0,0"/>
                  <v:stroke color="#000000" joinstyle="round" startarrow="block" endarrow="block"/>
                  <v:imagedata o:title=""/>
                  <o:lock v:ext="edit" aspectratio="f"/>
                </v:shape>
                <v:shape id="AutoShape 81" o:spid="_x0000_s1026" o:spt="32" type="#_x0000_t32" style="position:absolute;left:1366730;top:347805;flip:x;height:1046816;width:5600;" filled="f" stroked="t" coordsize="21600,21600" o:gfxdata="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maMI/UAAAABQEAAA8AAAAAAAAAAQAgAAAAIgAA&#10;AGRycy9kb3ducmV2LnhtbFBLAQIUABQAAAAIAIdO4kD3Ck/nDAIAACgEAAAOAAAAAAAAAAEAIAAA&#10;ACMBAABkcnMvZTJvRG9jLnhtbFBLBQYAAAAABgAGAFkBAAChBQAAAAA=&#10;">
                  <v:fill on="f" focussize="0,0"/>
                  <v:stroke color="#000000" joinstyle="round" startarrow="block" endarrow="block"/>
                  <v:imagedata o:title=""/>
                  <o:lock v:ext="edit" aspectratio="f"/>
                </v:shape>
                <v:shape id="Text Box 82" o:spid="_x0000_s1026" o:spt="202" type="#_x0000_t202" style="position:absolute;left:1225526;top:695311;height:346605;width:303707;v-text-anchor:middle;" fillcolor="#FFFFFF" filled="t" stroked="f" coordsize="21600,21600" o:gfxdata="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w4cbM1AAAAAUBAAAPAAAAAAAAAAEAIAAAACIAAABkcnMvZG93bnJldi54bWxQSwECFAAUAAAA&#10;CACHTuJAmBpcRSsCAABLBAAADgAAAAAAAAABACAAAAAjAQAAZHJzL2Uyb0RvYy54bWxQSwUGAAAA&#10;AAYABgBZAQAAwAUAAAAA&#10;">
                  <v:fill on="t" focussize="0,0"/>
                  <v:stroke on="f"/>
                  <v:imagedata o:title=""/>
                  <o:lock v:ext="edit" aspectratio="f"/>
                  <v:textbox inset="4.95047244094488pt,2.47543307086614pt,4.95047244094488pt,2.47543307086614pt">
                    <w:txbxContent>
                      <w:p>
                        <w:pPr>
                          <w:jc w:val="center"/>
                          <w:rPr>
                            <w:i/>
                            <w:szCs w:val="21"/>
                            <w:vertAlign w:val="subscript"/>
                          </w:rPr>
                        </w:pPr>
                        <w:r>
                          <w:rPr>
                            <w:i/>
                            <w:szCs w:val="21"/>
                          </w:rPr>
                          <w:t>U</w:t>
                        </w:r>
                      </w:p>
                    </w:txbxContent>
                  </v:textbox>
                </v:shape>
                <v:shape id="Text Box 83" o:spid="_x0000_s1026" o:spt="202" type="#_x0000_t202" style="position:absolute;left:1534033;top:45701;height:301605;width:516911;v-text-anchor:middle;" filled="f" stroked="f" coordsize="21600,21600" o:gfxdata="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Jj/YdUAAAAFAQAADwAAAAAAAAAB&#10;ACAAAAAiAAAAZHJzL2Rvd25yZXYueG1sUEsBAhQAFAAAAAgAh07iQB86Z7QTAgAAIQQAAA4AAAAA&#10;AAAAAQAgAAAAJAEAAGRycy9lMm9Eb2MueG1sUEsFBgAAAAAGAAYAWQEAAKkFAAAAAA==&#10;">
                  <v:fill on="f" focussize="0,0"/>
                  <v:stroke on="f"/>
                  <v:imagedata o:title=""/>
                  <o:lock v:ext="edit" aspectratio="f"/>
                  <v:textbox inset="4.95047244094488pt,2.47543307086614pt,4.95047244094488pt,2.47543307086614pt">
                    <w:txbxContent>
                      <w:p>
                        <w:pPr>
                          <w:rPr>
                            <w:i/>
                            <w:color w:val="000000" w:themeColor="text1"/>
                            <w:szCs w:val="21"/>
                            <w:vertAlign w:val="superscript"/>
                            <w14:textFill>
                              <w14:solidFill>
                                <w14:schemeClr w14:val="tx1"/>
                              </w14:solidFill>
                            </w14:textFill>
                          </w:rPr>
                        </w:pPr>
                        <w:r>
                          <w:rPr>
                            <w:i/>
                            <w:color w:val="000000" w:themeColor="text1"/>
                            <w:szCs w:val="21"/>
                            <w14:textFill>
                              <w14:solidFill>
                                <w14:schemeClr w14:val="tx1"/>
                              </w14:solidFill>
                            </w14:textFill>
                          </w:rPr>
                          <w:t>U</w:t>
                        </w:r>
                        <w:r>
                          <w:rPr>
                            <w:color w:val="000000" w:themeColor="text1"/>
                            <w:szCs w:val="21"/>
                            <w:vertAlign w:val="subscript"/>
                            <w14:textFill>
                              <w14:solidFill>
                                <w14:schemeClr w14:val="tx1"/>
                              </w14:solidFill>
                            </w14:textFill>
                          </w:rPr>
                          <w:t>1</w:t>
                        </w:r>
                        <w:r>
                          <w:rPr>
                            <w:i/>
                            <w:color w:val="000000" w:themeColor="text1"/>
                            <w:szCs w:val="21"/>
                            <w:vertAlign w:val="superscript"/>
                            <w14:textFill>
                              <w14:solidFill>
                                <w14:schemeClr w14:val="tx1"/>
                              </w14:solidFill>
                            </w14:textFill>
                          </w:rPr>
                          <w:t>`</w:t>
                        </w:r>
                      </w:p>
                    </w:txbxContent>
                  </v:textbox>
                </v:shape>
                <v:shape id="Text Box 84" o:spid="_x0000_s1026" o:spt="202" type="#_x0000_t202" style="position:absolute;left:1528833;top:1409921;height:301605;width:516911;v-text-anchor:middle;" filled="f" stroked="f" coordsize="21600,21600" o:gfxdata="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mP9h1QAAAAUBAAAPAAAAAAAA&#10;AAEAIAAAACIAAABkcnMvZG93bnJldi54bWxQSwECFAAUAAAACACHTuJAesrTaRUCAAAjBAAADgAA&#10;AAAAAAABACAAAAAkAQAAZHJzL2Uyb0RvYy54bWxQSwUGAAAAAAYABgBZAQAAqwUAAAAA&#10;">
                  <v:fill on="f" focussize="0,0"/>
                  <v:stroke on="f"/>
                  <v:imagedata o:title=""/>
                  <o:lock v:ext="edit" aspectratio="f"/>
                  <v:textbox inset="4.95047244094488pt,2.47543307086614pt,4.95047244094488pt,2.47543307086614pt">
                    <w:txbxContent>
                      <w:p>
                        <w:pPr>
                          <w:rPr>
                            <w:i/>
                            <w:szCs w:val="21"/>
                            <w:vertAlign w:val="superscript"/>
                          </w:rPr>
                        </w:pPr>
                        <w:r>
                          <w:rPr>
                            <w:i/>
                            <w:szCs w:val="21"/>
                          </w:rPr>
                          <w:t>U</w:t>
                        </w:r>
                        <w:r>
                          <w:rPr>
                            <w:szCs w:val="21"/>
                            <w:vertAlign w:val="subscript"/>
                          </w:rPr>
                          <w:t>1</w:t>
                        </w:r>
                      </w:p>
                    </w:txbxContent>
                  </v:textbox>
                </v:shape>
                <w10:wrap type="none"/>
                <w10:anchorlock/>
              </v:group>
            </w:pict>
          </mc:Fallback>
        </mc:AlternateContent>
      </w:r>
    </w:p>
    <w:p>
      <w:pPr>
        <w:pStyle w:val="129"/>
        <w:spacing w:before="156" w:after="156"/>
        <w:rPr>
          <w:rFonts w:hAnsi="黑体"/>
        </w:rPr>
      </w:pPr>
      <w:r>
        <w:rPr>
          <w:rFonts w:hint="eastAsia" w:hAnsi="黑体"/>
        </w:rPr>
        <w:t>图</w:t>
      </w:r>
      <w:r>
        <w:rPr>
          <w:rFonts w:hAnsi="黑体"/>
        </w:rPr>
        <w:t xml:space="preserve">B.1 </w:t>
      </w:r>
      <w:r>
        <w:rPr>
          <w:rFonts w:hint="eastAsia" w:hAnsi="黑体"/>
        </w:rPr>
        <w:t>绝缘电阻测量步骤</w:t>
      </w:r>
      <w:r>
        <w:rPr>
          <w:rFonts w:hAnsi="黑体"/>
        </w:rPr>
        <w:t>1</w:t>
      </w:r>
    </w:p>
    <w:p>
      <w:pPr>
        <w:pStyle w:val="88"/>
        <w:spacing w:before="156" w:after="156"/>
        <w:rPr>
          <w:rFonts w:asciiTheme="minorEastAsia" w:hAnsiTheme="minorEastAsia" w:eastAsiaTheme="minorEastAsia"/>
        </w:rPr>
      </w:pPr>
      <w:r>
        <w:rPr>
          <w:rFonts w:hint="eastAsia" w:asciiTheme="majorEastAsia" w:hAnsiTheme="majorEastAsia" w:eastAsiaTheme="majorEastAsia"/>
        </w:rPr>
        <w:t>添加一个已知电阻</w:t>
      </w:r>
      <w:r>
        <w:rPr>
          <w:rFonts w:ascii="Times New Roman"/>
          <w:i/>
        </w:rPr>
        <w:t>R</w:t>
      </w:r>
      <w:r>
        <w:rPr>
          <w:rFonts w:ascii="Times New Roman"/>
          <w:vertAlign w:val="subscript"/>
        </w:rPr>
        <w:t>0</w:t>
      </w:r>
      <w:r>
        <w:rPr>
          <w:rFonts w:hint="eastAsia" w:asciiTheme="majorEastAsia" w:hAnsiTheme="majorEastAsia" w:eastAsiaTheme="majorEastAsia"/>
        </w:rPr>
        <w:t>，阻值推荐</w:t>
      </w:r>
      <w:r>
        <w:rPr>
          <w:rFonts w:ascii="Times New Roman"/>
        </w:rPr>
        <w:t>1 MΩ</w:t>
      </w:r>
      <w:r>
        <w:rPr>
          <w:rFonts w:hint="eastAsia" w:asciiTheme="majorEastAsia" w:hAnsiTheme="majorEastAsia" w:eastAsiaTheme="majorEastAsia"/>
        </w:rPr>
        <w:t>。如图</w:t>
      </w:r>
      <w:r>
        <w:rPr>
          <w:rFonts w:ascii="Times New Roman"/>
        </w:rPr>
        <w:t>B.2</w:t>
      </w:r>
      <w:r>
        <w:rPr>
          <w:rFonts w:hint="eastAsia" w:asciiTheme="minorEastAsia" w:hAnsiTheme="minorEastAsia" w:eastAsiaTheme="minorEastAsia"/>
        </w:rPr>
        <w:t>中所示并联在电池包</w:t>
      </w:r>
      <w:r>
        <w:rPr>
          <w:rFonts w:asciiTheme="minorEastAsia" w:hAnsiTheme="minorEastAsia" w:eastAsiaTheme="minorEastAsia"/>
        </w:rPr>
        <w:t>或系统</w:t>
      </w:r>
      <w:r>
        <w:rPr>
          <w:rFonts w:hint="eastAsia" w:asciiTheme="minorEastAsia" w:hAnsiTheme="minorEastAsia" w:eastAsiaTheme="minorEastAsia"/>
        </w:rPr>
        <w:t>的</w:t>
      </w:r>
      <w:r>
        <w:rPr>
          <w:rFonts w:ascii="Times New Roman"/>
          <w:i/>
        </w:rPr>
        <w:t>U</w:t>
      </w:r>
      <w:r>
        <w:rPr>
          <w:rFonts w:ascii="Times New Roman"/>
          <w:vertAlign w:val="subscript"/>
        </w:rPr>
        <w:t>1</w:t>
      </w:r>
      <w:r>
        <w:rPr>
          <w:rFonts w:hint="eastAsia" w:asciiTheme="minorEastAsia" w:hAnsiTheme="minorEastAsia" w:eastAsiaTheme="minorEastAsia"/>
        </w:rPr>
        <w:t>侧端子与电平台之间。再用</w:t>
      </w:r>
      <w:r>
        <w:rPr>
          <w:rFonts w:ascii="Times New Roman"/>
        </w:rPr>
        <w:t>B.3.1.2</w:t>
      </w:r>
      <w:r>
        <w:rPr>
          <w:rFonts w:hint="eastAsia" w:asciiTheme="minorEastAsia" w:hAnsiTheme="minorEastAsia" w:eastAsiaTheme="minorEastAsia"/>
        </w:rPr>
        <w:t>中的两个电压检测工具同时测量电池包</w:t>
      </w:r>
      <w:r>
        <w:rPr>
          <w:rFonts w:asciiTheme="minorEastAsia" w:hAnsiTheme="minorEastAsia" w:eastAsiaTheme="minorEastAsia"/>
        </w:rPr>
        <w:t>或系统</w:t>
      </w:r>
      <w:r>
        <w:rPr>
          <w:rFonts w:hint="eastAsia" w:asciiTheme="minorEastAsia" w:hAnsiTheme="minorEastAsia" w:eastAsiaTheme="minorEastAsia"/>
        </w:rPr>
        <w:t>的两个端子和电平台之间的电压，待读数稳定，测量值为</w:t>
      </w:r>
      <w:r>
        <w:rPr>
          <w:rFonts w:ascii="Times New Roman"/>
          <w:i/>
        </w:rPr>
        <w:t>U</w:t>
      </w:r>
      <w:r>
        <w:rPr>
          <w:rFonts w:ascii="Times New Roman"/>
          <w:vertAlign w:val="subscript"/>
        </w:rPr>
        <w:t>2</w:t>
      </w:r>
      <w:r>
        <w:rPr>
          <w:rFonts w:hint="eastAsia" w:asciiTheme="minorEastAsia" w:hAnsiTheme="minorEastAsia" w:eastAsiaTheme="minorEastAsia"/>
        </w:rPr>
        <w:t>和</w:t>
      </w:r>
      <w:r>
        <w:rPr>
          <w:rFonts w:ascii="Times New Roman"/>
          <w:i/>
        </w:rPr>
        <w:t>U</w:t>
      </w:r>
      <w:r>
        <w:rPr>
          <w:rFonts w:ascii="Times New Roman"/>
          <w:vertAlign w:val="subscript"/>
        </w:rPr>
        <w:t>2</w:t>
      </w:r>
      <w:r>
        <w:rPr>
          <w:rFonts w:ascii="Times New Roman"/>
        </w:rPr>
        <w:t>`</w:t>
      </w:r>
      <w:r>
        <w:rPr>
          <w:rFonts w:hint="eastAsia" w:asciiTheme="minorEastAsia" w:hAnsiTheme="minorEastAsia" w:eastAsiaTheme="minorEastAsia"/>
        </w:rPr>
        <w:t>。</w:t>
      </w:r>
    </w:p>
    <w:p>
      <w:pPr>
        <w:pStyle w:val="23"/>
        <w:ind w:firstLine="0" w:firstLineChars="0"/>
        <w:jc w:val="center"/>
      </w:pPr>
      <w:r>
        <mc:AlternateContent>
          <mc:Choice Requires="wpc">
            <w:drawing>
              <wp:inline distT="0" distB="0" distL="0" distR="0">
                <wp:extent cx="3239770" cy="1979930"/>
                <wp:effectExtent l="0" t="0" r="0" b="1270"/>
                <wp:docPr id="25" name="画布 206"/>
                <wp:cNvGraphicFramePr/>
                <a:graphic xmlns:a="http://schemas.openxmlformats.org/drawingml/2006/main">
                  <a:graphicData uri="http://schemas.microsoft.com/office/word/2010/wordprocessingCanvas">
                    <wpc:wpc>
                      <wpc:bg>
                        <a:noFill/>
                      </wpc:bg>
                      <wpc:whole/>
                      <wps:wsp>
                        <wps:cNvPr id="4" name="Oval 42"/>
                        <wps:cNvSpPr>
                          <a:spLocks noChangeArrowheads="1"/>
                        </wps:cNvSpPr>
                        <wps:spPr bwMode="auto">
                          <a:xfrm>
                            <a:off x="600212" y="666909"/>
                            <a:ext cx="612000" cy="612000"/>
                          </a:xfrm>
                          <a:prstGeom prst="ellipse">
                            <a:avLst/>
                          </a:prstGeom>
                          <a:solidFill>
                            <a:srgbClr val="FFFFFF"/>
                          </a:solidFill>
                          <a:ln w="9525">
                            <a:solidFill>
                              <a:srgbClr val="000000"/>
                            </a:solidFill>
                            <a:round/>
                          </a:ln>
                        </wps:spPr>
                        <wps:txbx>
                          <w:txbxContent>
                            <w:p>
                              <w:pPr>
                                <w:jc w:val="center"/>
                                <w:rPr>
                                  <w:rFonts w:ascii="宋体" w:hAnsi="宋体"/>
                                  <w:szCs w:val="21"/>
                                </w:rPr>
                              </w:pPr>
                              <w:r>
                                <w:rPr>
                                  <w:rFonts w:hint="eastAsia" w:ascii="宋体" w:hAnsi="宋体"/>
                                  <w:szCs w:val="21"/>
                                </w:rPr>
                                <w:t>测试对象</w:t>
                              </w:r>
                            </w:p>
                          </w:txbxContent>
                        </wps:txbx>
                        <wps:bodyPr rot="0" vert="horz" wrap="square" lIns="63305" tIns="31651" rIns="63305" bIns="31651" anchor="ctr" anchorCtr="0" upright="1">
                          <a:noAutofit/>
                        </wps:bodyPr>
                      </wps:wsp>
                      <wps:wsp>
                        <wps:cNvPr id="5" name="AutoShape 44"/>
                        <wps:cNvCnPr>
                          <a:cxnSpLocks noChangeShapeType="1"/>
                        </wps:cNvCnPr>
                        <wps:spPr bwMode="auto">
                          <a:xfrm flipV="1">
                            <a:off x="888519" y="499208"/>
                            <a:ext cx="400" cy="167703"/>
                          </a:xfrm>
                          <a:prstGeom prst="straightConnector1">
                            <a:avLst/>
                          </a:prstGeom>
                          <a:noFill/>
                          <a:ln w="9525">
                            <a:solidFill>
                              <a:srgbClr val="000000"/>
                            </a:solidFill>
                            <a:round/>
                          </a:ln>
                        </wps:spPr>
                        <wps:bodyPr/>
                      </wps:wsp>
                      <wps:wsp>
                        <wps:cNvPr id="6" name="AutoShape 45"/>
                        <wps:cNvCnPr>
                          <a:cxnSpLocks noChangeShapeType="1"/>
                        </wps:cNvCnPr>
                        <wps:spPr bwMode="auto">
                          <a:xfrm flipV="1">
                            <a:off x="893119" y="498808"/>
                            <a:ext cx="669414" cy="0"/>
                          </a:xfrm>
                          <a:prstGeom prst="straightConnector1">
                            <a:avLst/>
                          </a:prstGeom>
                          <a:noFill/>
                          <a:ln w="9525">
                            <a:solidFill>
                              <a:srgbClr val="000000"/>
                            </a:solidFill>
                            <a:round/>
                          </a:ln>
                        </wps:spPr>
                        <wps:bodyPr/>
                      </wps:wsp>
                      <wps:wsp>
                        <wps:cNvPr id="7" name="AutoShape 48"/>
                        <wps:cNvCnPr>
                          <a:cxnSpLocks noChangeShapeType="1"/>
                        </wps:cNvCnPr>
                        <wps:spPr bwMode="auto">
                          <a:xfrm>
                            <a:off x="890619" y="1447322"/>
                            <a:ext cx="667514" cy="800"/>
                          </a:xfrm>
                          <a:prstGeom prst="straightConnector1">
                            <a:avLst/>
                          </a:prstGeom>
                          <a:noFill/>
                          <a:ln w="9525">
                            <a:solidFill>
                              <a:srgbClr val="000000"/>
                            </a:solidFill>
                            <a:round/>
                          </a:ln>
                        </wps:spPr>
                        <wps:bodyPr/>
                      </wps:wsp>
                      <wps:wsp>
                        <wps:cNvPr id="8" name="AutoShape 49"/>
                        <wps:cNvCnPr>
                          <a:cxnSpLocks noChangeShapeType="1"/>
                        </wps:cNvCnPr>
                        <wps:spPr bwMode="auto">
                          <a:xfrm>
                            <a:off x="79302" y="208003"/>
                            <a:ext cx="2994965" cy="400"/>
                          </a:xfrm>
                          <a:prstGeom prst="straightConnector1">
                            <a:avLst/>
                          </a:prstGeom>
                          <a:noFill/>
                          <a:ln w="25400">
                            <a:solidFill>
                              <a:srgbClr val="000000"/>
                            </a:solidFill>
                            <a:round/>
                          </a:ln>
                        </wps:spPr>
                        <wps:bodyPr/>
                      </wps:wsp>
                      <wps:wsp>
                        <wps:cNvPr id="9" name="AutoShape 50"/>
                        <wps:cNvCnPr>
                          <a:cxnSpLocks noChangeShapeType="1"/>
                        </wps:cNvCnPr>
                        <wps:spPr bwMode="auto">
                          <a:xfrm>
                            <a:off x="96902" y="1738126"/>
                            <a:ext cx="2994965" cy="400"/>
                          </a:xfrm>
                          <a:prstGeom prst="straightConnector1">
                            <a:avLst/>
                          </a:prstGeom>
                          <a:noFill/>
                          <a:ln w="25400">
                            <a:solidFill>
                              <a:srgbClr val="000000"/>
                            </a:solidFill>
                            <a:round/>
                          </a:ln>
                        </wps:spPr>
                        <wps:bodyPr/>
                      </wps:wsp>
                      <wps:wsp>
                        <wps:cNvPr id="12" name="AutoShape 51"/>
                        <wps:cNvCnPr>
                          <a:cxnSpLocks noChangeShapeType="1"/>
                        </wps:cNvCnPr>
                        <wps:spPr bwMode="auto">
                          <a:xfrm>
                            <a:off x="888519" y="1274573"/>
                            <a:ext cx="2100" cy="187003"/>
                          </a:xfrm>
                          <a:prstGeom prst="straightConnector1">
                            <a:avLst/>
                          </a:prstGeom>
                          <a:noFill/>
                          <a:ln w="9525">
                            <a:solidFill>
                              <a:srgbClr val="000000"/>
                            </a:solidFill>
                            <a:round/>
                          </a:ln>
                        </wps:spPr>
                        <wps:bodyPr/>
                      </wps:wsp>
                      <wps:wsp>
                        <wps:cNvPr id="13" name="Text Box 52"/>
                        <wps:cNvSpPr txBox="1">
                          <a:spLocks noChangeArrowheads="1"/>
                        </wps:cNvSpPr>
                        <wps:spPr bwMode="auto">
                          <a:xfrm>
                            <a:off x="2699770" y="208403"/>
                            <a:ext cx="540000" cy="236204"/>
                          </a:xfrm>
                          <a:prstGeom prst="rect">
                            <a:avLst/>
                          </a:prstGeom>
                          <a:noFill/>
                          <a:ln>
                            <a:noFill/>
                          </a:ln>
                        </wps:spPr>
                        <wps:txbx>
                          <w:txbxContent>
                            <w:p>
                              <w:pPr>
                                <w:rPr>
                                  <w:rFonts w:ascii="宋体" w:hAnsi="宋体"/>
                                  <w:szCs w:val="21"/>
                                </w:rPr>
                              </w:pPr>
                              <w:r>
                                <w:rPr>
                                  <w:rFonts w:hint="eastAsia" w:ascii="宋体" w:hAnsi="宋体"/>
                                  <w:szCs w:val="21"/>
                                </w:rPr>
                                <w:t>电平台</w:t>
                              </w:r>
                            </w:p>
                          </w:txbxContent>
                        </wps:txbx>
                        <wps:bodyPr rot="0" vert="horz" wrap="square" lIns="63305" tIns="31651" rIns="63305" bIns="31651" anchor="t" anchorCtr="0" upright="1">
                          <a:noAutofit/>
                        </wps:bodyPr>
                      </wps:wsp>
                      <wps:wsp>
                        <wps:cNvPr id="14" name="Text Box 53"/>
                        <wps:cNvSpPr txBox="1">
                          <a:spLocks noChangeArrowheads="1"/>
                        </wps:cNvSpPr>
                        <wps:spPr bwMode="auto">
                          <a:xfrm>
                            <a:off x="2699770" y="1743726"/>
                            <a:ext cx="540000" cy="236204"/>
                          </a:xfrm>
                          <a:prstGeom prst="rect">
                            <a:avLst/>
                          </a:prstGeom>
                          <a:noFill/>
                          <a:ln>
                            <a:noFill/>
                          </a:ln>
                        </wps:spPr>
                        <wps:txbx>
                          <w:txbxContent>
                            <w:p>
                              <w:pPr>
                                <w:rPr>
                                  <w:rFonts w:ascii="宋体" w:hAnsi="宋体"/>
                                  <w:szCs w:val="21"/>
                                </w:rPr>
                              </w:pPr>
                              <w:r>
                                <w:rPr>
                                  <w:rFonts w:hint="eastAsia" w:ascii="宋体" w:hAnsi="宋体"/>
                                  <w:szCs w:val="21"/>
                                </w:rPr>
                                <w:t>电平台</w:t>
                              </w:r>
                            </w:p>
                          </w:txbxContent>
                        </wps:txbx>
                        <wps:bodyPr rot="0" vert="horz" wrap="square" lIns="63305" tIns="31651" rIns="63305" bIns="31651" anchor="t" anchorCtr="0" upright="1">
                          <a:noAutofit/>
                        </wps:bodyPr>
                      </wps:wsp>
                      <wps:wsp>
                        <wps:cNvPr id="15" name="AutoShape 54"/>
                        <wps:cNvCnPr>
                          <a:cxnSpLocks noChangeShapeType="1"/>
                        </wps:cNvCnPr>
                        <wps:spPr bwMode="auto">
                          <a:xfrm>
                            <a:off x="1559534" y="208403"/>
                            <a:ext cx="400" cy="290404"/>
                          </a:xfrm>
                          <a:prstGeom prst="straightConnector1">
                            <a:avLst/>
                          </a:prstGeom>
                          <a:noFill/>
                          <a:ln w="9525">
                            <a:solidFill>
                              <a:srgbClr val="000000"/>
                            </a:solidFill>
                            <a:round/>
                            <a:headEnd type="triangle" w="med" len="med"/>
                            <a:tailEnd type="triangle" w="med" len="med"/>
                          </a:ln>
                        </wps:spPr>
                        <wps:bodyPr/>
                      </wps:wsp>
                      <wps:wsp>
                        <wps:cNvPr id="16" name="AutoShape 55"/>
                        <wps:cNvCnPr>
                          <a:cxnSpLocks noChangeShapeType="1"/>
                        </wps:cNvCnPr>
                        <wps:spPr bwMode="auto">
                          <a:xfrm>
                            <a:off x="1558834" y="1448122"/>
                            <a:ext cx="400" cy="290404"/>
                          </a:xfrm>
                          <a:prstGeom prst="straightConnector1">
                            <a:avLst/>
                          </a:prstGeom>
                          <a:noFill/>
                          <a:ln w="9525">
                            <a:solidFill>
                              <a:srgbClr val="000000"/>
                            </a:solidFill>
                            <a:round/>
                            <a:headEnd type="triangle" w="med" len="med"/>
                            <a:tailEnd type="triangle" w="med" len="med"/>
                          </a:ln>
                        </wps:spPr>
                        <wps:bodyPr/>
                      </wps:wsp>
                      <wps:wsp>
                        <wps:cNvPr id="17" name="AutoShape 56"/>
                        <wps:cNvCnPr>
                          <a:cxnSpLocks noChangeShapeType="1"/>
                        </wps:cNvCnPr>
                        <wps:spPr bwMode="auto">
                          <a:xfrm flipH="1">
                            <a:off x="1372630" y="499208"/>
                            <a:ext cx="5500" cy="948114"/>
                          </a:xfrm>
                          <a:prstGeom prst="straightConnector1">
                            <a:avLst/>
                          </a:prstGeom>
                          <a:noFill/>
                          <a:ln w="9525">
                            <a:solidFill>
                              <a:srgbClr val="000000"/>
                            </a:solidFill>
                            <a:round/>
                            <a:headEnd type="triangle" w="med" len="med"/>
                            <a:tailEnd type="triangle" w="med" len="med"/>
                          </a:ln>
                        </wps:spPr>
                        <wps:bodyPr/>
                      </wps:wsp>
                      <wps:wsp>
                        <wps:cNvPr id="18" name="Text Box 57"/>
                        <wps:cNvSpPr txBox="1">
                          <a:spLocks noChangeArrowheads="1"/>
                        </wps:cNvSpPr>
                        <wps:spPr bwMode="auto">
                          <a:xfrm>
                            <a:off x="1231927" y="813912"/>
                            <a:ext cx="294706" cy="314005"/>
                          </a:xfrm>
                          <a:prstGeom prst="rect">
                            <a:avLst/>
                          </a:prstGeom>
                          <a:solidFill>
                            <a:srgbClr val="FFFFFF"/>
                          </a:solidFill>
                          <a:ln>
                            <a:noFill/>
                          </a:ln>
                        </wps:spPr>
                        <wps:txbx>
                          <w:txbxContent>
                            <w:p>
                              <w:pPr>
                                <w:jc w:val="center"/>
                                <w:rPr>
                                  <w:i/>
                                  <w:szCs w:val="21"/>
                                  <w:vertAlign w:val="subscript"/>
                                </w:rPr>
                              </w:pPr>
                              <w:r>
                                <w:rPr>
                                  <w:i/>
                                  <w:szCs w:val="21"/>
                                </w:rPr>
                                <w:t>U</w:t>
                              </w:r>
                            </w:p>
                          </w:txbxContent>
                        </wps:txbx>
                        <wps:bodyPr rot="0" vert="horz" wrap="square" lIns="63305" tIns="31651" rIns="63305" bIns="31651" anchor="ctr" anchorCtr="0" upright="1">
                          <a:noAutofit/>
                        </wps:bodyPr>
                      </wps:wsp>
                      <wps:wsp>
                        <wps:cNvPr id="19" name="Text Box 58"/>
                        <wps:cNvSpPr txBox="1">
                          <a:spLocks noChangeArrowheads="1"/>
                        </wps:cNvSpPr>
                        <wps:spPr bwMode="auto">
                          <a:xfrm>
                            <a:off x="1558134" y="225603"/>
                            <a:ext cx="507711" cy="273204"/>
                          </a:xfrm>
                          <a:prstGeom prst="rect">
                            <a:avLst/>
                          </a:prstGeom>
                          <a:noFill/>
                          <a:ln>
                            <a:noFill/>
                          </a:ln>
                        </wps:spPr>
                        <wps:txbx>
                          <w:txbxContent>
                            <w:p>
                              <w:pPr>
                                <w:rPr>
                                  <w:i/>
                                  <w:color w:val="000000" w:themeColor="text1"/>
                                  <w:szCs w:val="21"/>
                                  <w:vertAlign w:val="superscript"/>
                                  <w14:textFill>
                                    <w14:solidFill>
                                      <w14:schemeClr w14:val="tx1"/>
                                    </w14:solidFill>
                                  </w14:textFill>
                                </w:rPr>
                              </w:pPr>
                              <w:r>
                                <w:rPr>
                                  <w:i/>
                                  <w:color w:val="000000" w:themeColor="text1"/>
                                  <w:szCs w:val="21"/>
                                  <w14:textFill>
                                    <w14:solidFill>
                                      <w14:schemeClr w14:val="tx1"/>
                                    </w14:solidFill>
                                  </w14:textFill>
                                </w:rPr>
                                <w:t>U</w:t>
                              </w:r>
                              <w:r>
                                <w:rPr>
                                  <w:color w:val="000000" w:themeColor="text1"/>
                                  <w:szCs w:val="21"/>
                                  <w:vertAlign w:val="subscript"/>
                                  <w14:textFill>
                                    <w14:solidFill>
                                      <w14:schemeClr w14:val="tx1"/>
                                    </w14:solidFill>
                                  </w14:textFill>
                                </w:rPr>
                                <w:t>2</w:t>
                              </w:r>
                              <w:r>
                                <w:rPr>
                                  <w:i/>
                                  <w:color w:val="000000" w:themeColor="text1"/>
                                  <w:szCs w:val="21"/>
                                  <w:vertAlign w:val="superscript"/>
                                  <w14:textFill>
                                    <w14:solidFill>
                                      <w14:schemeClr w14:val="tx1"/>
                                    </w14:solidFill>
                                  </w14:textFill>
                                </w:rPr>
                                <w:t>`</w:t>
                              </w:r>
                            </w:p>
                          </w:txbxContent>
                        </wps:txbx>
                        <wps:bodyPr rot="0" vert="horz" wrap="square" lIns="63305" tIns="31651" rIns="63305" bIns="31651" anchor="ctr" anchorCtr="0" upright="1">
                          <a:noAutofit/>
                        </wps:bodyPr>
                      </wps:wsp>
                      <wps:wsp>
                        <wps:cNvPr id="20" name="Text Box 59"/>
                        <wps:cNvSpPr txBox="1">
                          <a:spLocks noChangeArrowheads="1"/>
                        </wps:cNvSpPr>
                        <wps:spPr bwMode="auto">
                          <a:xfrm>
                            <a:off x="1562534" y="1461122"/>
                            <a:ext cx="507711" cy="273204"/>
                          </a:xfrm>
                          <a:prstGeom prst="rect">
                            <a:avLst/>
                          </a:prstGeom>
                          <a:noFill/>
                          <a:ln>
                            <a:noFill/>
                          </a:ln>
                        </wps:spPr>
                        <wps:txbx>
                          <w:txbxContent>
                            <w:p>
                              <w:pPr>
                                <w:rPr>
                                  <w:i/>
                                  <w:szCs w:val="21"/>
                                  <w:vertAlign w:val="superscript"/>
                                </w:rPr>
                              </w:pPr>
                              <w:r>
                                <w:rPr>
                                  <w:i/>
                                  <w:szCs w:val="21"/>
                                </w:rPr>
                                <w:t>U</w:t>
                              </w:r>
                              <w:r>
                                <w:rPr>
                                  <w:szCs w:val="21"/>
                                  <w:vertAlign w:val="subscript"/>
                                </w:rPr>
                                <w:t>2</w:t>
                              </w:r>
                            </w:p>
                          </w:txbxContent>
                        </wps:txbx>
                        <wps:bodyPr rot="0" vert="horz" wrap="square" lIns="63305" tIns="31651" rIns="63305" bIns="31651" anchor="ctr" anchorCtr="0" upright="1">
                          <a:noAutofit/>
                        </wps:bodyPr>
                      </wps:wsp>
                      <wps:wsp>
                        <wps:cNvPr id="21" name="Rectangle 60"/>
                        <wps:cNvSpPr>
                          <a:spLocks noChangeArrowheads="1"/>
                        </wps:cNvSpPr>
                        <wps:spPr bwMode="auto">
                          <a:xfrm>
                            <a:off x="854018" y="1510723"/>
                            <a:ext cx="74302" cy="154202"/>
                          </a:xfrm>
                          <a:prstGeom prst="rect">
                            <a:avLst/>
                          </a:prstGeom>
                          <a:solidFill>
                            <a:srgbClr val="FFFFFF"/>
                          </a:solidFill>
                          <a:ln w="9525">
                            <a:solidFill>
                              <a:srgbClr val="000000"/>
                            </a:solidFill>
                            <a:miter lim="800000"/>
                          </a:ln>
                        </wps:spPr>
                        <wps:bodyPr rot="0" vert="horz" wrap="square" lIns="63305" tIns="31651" rIns="63305" bIns="31651" anchor="t" anchorCtr="0" upright="1">
                          <a:noAutofit/>
                        </wps:bodyPr>
                      </wps:wsp>
                      <wps:wsp>
                        <wps:cNvPr id="22" name="AutoShape 62"/>
                        <wps:cNvCnPr>
                          <a:cxnSpLocks noChangeShapeType="1"/>
                        </wps:cNvCnPr>
                        <wps:spPr bwMode="auto">
                          <a:xfrm>
                            <a:off x="888519" y="1447322"/>
                            <a:ext cx="3000" cy="63401"/>
                          </a:xfrm>
                          <a:prstGeom prst="straightConnector1">
                            <a:avLst/>
                          </a:prstGeom>
                          <a:noFill/>
                          <a:ln w="9525">
                            <a:solidFill>
                              <a:srgbClr val="000000"/>
                            </a:solidFill>
                            <a:round/>
                          </a:ln>
                        </wps:spPr>
                        <wps:bodyPr/>
                      </wps:wsp>
                      <wps:wsp>
                        <wps:cNvPr id="23" name="AutoShape 63"/>
                        <wps:cNvCnPr>
                          <a:cxnSpLocks noChangeShapeType="1"/>
                        </wps:cNvCnPr>
                        <wps:spPr bwMode="auto">
                          <a:xfrm>
                            <a:off x="891419" y="1664925"/>
                            <a:ext cx="1700" cy="69401"/>
                          </a:xfrm>
                          <a:prstGeom prst="straightConnector1">
                            <a:avLst/>
                          </a:prstGeom>
                          <a:noFill/>
                          <a:ln w="9525">
                            <a:solidFill>
                              <a:srgbClr val="000000"/>
                            </a:solidFill>
                            <a:round/>
                          </a:ln>
                        </wps:spPr>
                        <wps:bodyPr/>
                      </wps:wsp>
                      <wps:wsp>
                        <wps:cNvPr id="24" name="Text Box 64"/>
                        <wps:cNvSpPr txBox="1">
                          <a:spLocks noChangeArrowheads="1"/>
                        </wps:cNvSpPr>
                        <wps:spPr bwMode="auto">
                          <a:xfrm>
                            <a:off x="589787" y="1454517"/>
                            <a:ext cx="507711" cy="273204"/>
                          </a:xfrm>
                          <a:prstGeom prst="rect">
                            <a:avLst/>
                          </a:prstGeom>
                          <a:noFill/>
                          <a:ln>
                            <a:noFill/>
                          </a:ln>
                        </wps:spPr>
                        <wps:txbx>
                          <w:txbxContent>
                            <w:p>
                              <w:pPr>
                                <w:rPr>
                                  <w:i/>
                                  <w:szCs w:val="21"/>
                                  <w:vertAlign w:val="subscript"/>
                                </w:rPr>
                              </w:pPr>
                              <w:r>
                                <w:rPr>
                                  <w:i/>
                                  <w:szCs w:val="21"/>
                                </w:rPr>
                                <w:t>R</w:t>
                              </w:r>
                              <w:r>
                                <w:rPr>
                                  <w:szCs w:val="21"/>
                                  <w:vertAlign w:val="subscript"/>
                                </w:rPr>
                                <w:t>0</w:t>
                              </w:r>
                            </w:p>
                          </w:txbxContent>
                        </wps:txbx>
                        <wps:bodyPr rot="0" vert="horz" wrap="square" lIns="63305" tIns="31651" rIns="63305" bIns="31651" anchor="t" anchorCtr="0" upright="1">
                          <a:noAutofit/>
                        </wps:bodyPr>
                      </wps:wsp>
                    </wpc:wpc>
                  </a:graphicData>
                </a:graphic>
              </wp:inline>
            </w:drawing>
          </mc:Choice>
          <mc:Fallback>
            <w:pict>
              <v:group id="画布 206" o:spid="_x0000_s1026" o:spt="203" style="height:155.9pt;width:255.1pt;" coordsize="3239770,1979930" editas="canvas" o:gfxdata="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">
                <o:lock v:ext="edit" aspectratio="f"/>
                <v:shape id="画布 206" o:spid="_x0000_s1026" style="position:absolute;left:0;top:0;height:1979930;width:3239770;" filled="f" stroked="f" coordsize="21600,21600" o:gfxdata="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">
                  <v:fill on="f" focussize="0,0"/>
                  <v:stroke on="f"/>
                  <v:imagedata o:title=""/>
                  <o:lock v:ext="edit" aspectratio="f"/>
                </v:shape>
                <v:shape id="Oval 42" o:spid="_x0000_s1026" o:spt="3" type="#_x0000_t3" style="position:absolute;left:600212;top:666909;height:612000;width:612000;v-text-anchor:middle;" fillcolor="#FFFFFF" filled="t" stroked="t" coordsize="21600,21600" o:gfxdata="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9is/3YAAAABQEAAA8AAAAAAAAAAQAgAAAAIgAAAGRycy9kb3ducmV2Lnht&#10;bFBLAQIUABQAAAAIAIdO4kDu0acSMgIAAHoEAAAOAAAAAAAAAAEAIAAAACcBAABkcnMvZTJvRG9j&#10;LnhtbFBLBQYAAAAABgAGAFkBAADLBQAAAAA=&#10;">
                  <v:fill on="t" focussize="0,0"/>
                  <v:stroke color="#000000" joinstyle="round"/>
                  <v:imagedata o:title=""/>
                  <o:lock v:ext="edit" aspectratio="f"/>
                  <v:textbox inset="4.98464566929134pt,2.49220472440945pt,4.98464566929134pt,2.49220472440945pt">
                    <w:txbxContent>
                      <w:p>
                        <w:pPr>
                          <w:jc w:val="center"/>
                          <w:rPr>
                            <w:rFonts w:ascii="宋体" w:hAnsi="宋体"/>
                            <w:szCs w:val="21"/>
                          </w:rPr>
                        </w:pPr>
                        <w:r>
                          <w:rPr>
                            <w:rFonts w:hint="eastAsia" w:ascii="宋体" w:hAnsi="宋体"/>
                            <w:szCs w:val="21"/>
                          </w:rPr>
                          <w:t>测试对象</w:t>
                        </w:r>
                      </w:p>
                    </w:txbxContent>
                  </v:textbox>
                </v:shape>
                <v:shape id="AutoShape 44" o:spid="_x0000_s1026" o:spt="32" type="#_x0000_t32" style="position:absolute;left:888519;top:499208;flip:y;height:167703;width:400;" filled="f" stroked="t" coordsize="21600,21600" o:gfxdata="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YjdR9QA&#10;AAAFAQAADwAAAAAAAAABACAAAAAiAAAAZHJzL2Rvd25yZXYueG1sUEsBAhQAFAAAAAgAh07iQAdH&#10;rYjqAQAAyAMAAA4AAAAAAAAAAQAgAAAAIwEAAGRycy9lMm9Eb2MueG1sUEsFBgAAAAAGAAYAWQEA&#10;AH8FAAAAAA==&#10;">
                  <v:fill on="f" focussize="0,0"/>
                  <v:stroke color="#000000" joinstyle="round"/>
                  <v:imagedata o:title=""/>
                  <o:lock v:ext="edit" aspectratio="f"/>
                </v:shape>
                <v:shape id="AutoShape 45" o:spid="_x0000_s1026" o:spt="32" type="#_x0000_t32" style="position:absolute;left:893119;top:498808;flip:y;height:0;width:669414;" filled="f" stroked="t" coordsize="21600,21600" o:gfxdata="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5iN1H1AAA&#10;AAUBAAAPAAAAAAAAAAEAIAAAACIAAABkcnMvZG93bnJldi54bWxQSwECFAAUAAAACACHTuJA/pT+&#10;VekBAADGAwAADgAAAAAAAAABACAAAAAjAQAAZHJzL2Uyb0RvYy54bWxQSwUGAAAAAAYABgBZAQAA&#10;fgUAAAAA&#10;">
                  <v:fill on="f" focussize="0,0"/>
                  <v:stroke color="#000000" joinstyle="round"/>
                  <v:imagedata o:title=""/>
                  <o:lock v:ext="edit" aspectratio="f"/>
                </v:shape>
                <v:shape id="AutoShape 48" o:spid="_x0000_s1026" o:spt="32" type="#_x0000_t32" style="position:absolute;left:890619;top:1447322;height:800;width:667514;"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EWElw1AAAAAUB&#10;AAAPAAAAAAAAAAEAIAAAACIAAABkcnMvZG93bnJldi54bWxQSwECFAAUAAAACACHTuJASN6BWuYB&#10;AAC/AwAADgAAAAAAAAABACAAAAAjAQAAZHJzL2Uyb0RvYy54bWxQSwUGAAAAAAYABgBZAQAAewUA&#10;AAAA&#10;">
                  <v:fill on="f" focussize="0,0"/>
                  <v:stroke color="#000000" joinstyle="round"/>
                  <v:imagedata o:title=""/>
                  <o:lock v:ext="edit" aspectratio="f"/>
                </v:shape>
                <v:shape id="AutoShape 49" o:spid="_x0000_s1026" o:spt="32" type="#_x0000_t32" style="position:absolute;left:79302;top:208003;height:400;width:2994965;" filled="f" stroked="t" coordsize="21600,21600" o:gfxdata="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1RyAHUAAAABQEAAA8A&#10;AAAAAAAAAQAgAAAAIgAAAGRycy9kb3ducmV2LnhtbFBLAQIUABQAAAAIAIdO4kAPL+zm4gEAAL8D&#10;AAAOAAAAAAAAAAEAIAAAACMBAABkcnMvZTJvRG9jLnhtbFBLBQYAAAAABgAGAFkBAAB3BQAAAAA=&#10;">
                  <v:fill on="f" focussize="0,0"/>
                  <v:stroke weight="2pt" color="#000000" joinstyle="round"/>
                  <v:imagedata o:title=""/>
                  <o:lock v:ext="edit" aspectratio="f"/>
                </v:shape>
                <v:shape id="AutoShape 50" o:spid="_x0000_s1026" o:spt="32" type="#_x0000_t32" style="position:absolute;left:96902;top:1738126;height:400;width:2994965;" filled="f" stroked="t" coordsize="21600,21600" o:gfxdata="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dUcgB1AAAAAUBAAAP&#10;AAAAAAAAAAEAIAAAACIAAABkcnMvZG93bnJldi54bWxQSwECFAAUAAAACACHTuJAoF6JquMBAADA&#10;AwAADgAAAAAAAAABACAAAAAjAQAAZHJzL2Uyb0RvYy54bWxQSwUGAAAAAAYABgBZAQAAeAUAAAAA&#10;">
                  <v:fill on="f" focussize="0,0"/>
                  <v:stroke weight="2pt" color="#000000" joinstyle="round"/>
                  <v:imagedata o:title=""/>
                  <o:lock v:ext="edit" aspectratio="f"/>
                </v:shape>
                <v:shape id="AutoShape 51" o:spid="_x0000_s1026" o:spt="32" type="#_x0000_t32" style="position:absolute;left:888519;top:1274573;height:187003;width:2100;"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RYSXDUAAAABQEA&#10;AA8AAAAAAAAAAQAgAAAAIgAAAGRycy9kb3ducmV2LnhtbFBLAQIUABQAAAAIAIdO4kA9j4ZE5QEA&#10;AMEDAAAOAAAAAAAAAAEAIAAAACMBAABkcnMvZTJvRG9jLnhtbFBLBQYAAAAABgAGAFkBAAB6BQAA&#10;AAA=&#10;">
                  <v:fill on="f" focussize="0,0"/>
                  <v:stroke color="#000000" joinstyle="round"/>
                  <v:imagedata o:title=""/>
                  <o:lock v:ext="edit" aspectratio="f"/>
                </v:shape>
                <v:shape id="Text Box 52" o:spid="_x0000_s1026" o:spt="202" type="#_x0000_t202" style="position:absolute;left:2699770;top:208403;height:236204;width:540000;" filled="f" stroked="f" coordsize="21600,21600" o:gfxdata="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aCfpNUAAAAFAQAADwAAAAAAAAAB&#10;ACAAAAAiAAAAZHJzL2Rvd25yZXYueG1sUEsBAhQAFAAAAAgAh07iQDTYwHITAgAAIAQAAA4AAAAA&#10;AAAAAQAgAAAAJAEAAGRycy9lMm9Eb2MueG1sUEsFBgAAAAAGAAYAWQEAAKkFAAAAAA==&#10;">
                  <v:fill on="f" focussize="0,0"/>
                  <v:stroke on="f"/>
                  <v:imagedata o:title=""/>
                  <o:lock v:ext="edit" aspectratio="f"/>
                  <v:textbox inset="4.98464566929134pt,2.49220472440945pt,4.98464566929134pt,2.49220472440945pt">
                    <w:txbxContent>
                      <w:p>
                        <w:pPr>
                          <w:rPr>
                            <w:rFonts w:ascii="宋体" w:hAnsi="宋体"/>
                            <w:szCs w:val="21"/>
                          </w:rPr>
                        </w:pPr>
                        <w:r>
                          <w:rPr>
                            <w:rFonts w:hint="eastAsia" w:ascii="宋体" w:hAnsi="宋体"/>
                            <w:szCs w:val="21"/>
                          </w:rPr>
                          <w:t>电平台</w:t>
                        </w:r>
                      </w:p>
                    </w:txbxContent>
                  </v:textbox>
                </v:shape>
                <v:shape id="Text Box 53" o:spid="_x0000_s1026" o:spt="202" type="#_x0000_t202" style="position:absolute;left:2699770;top:1743726;height:236204;width:540000;" filled="f" stroked="f" coordsize="21600,21600" o:gfxdata="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Ggn6TVAAAABQEAAA8AAAAAAAAA&#10;AQAgAAAAIgAAAGRycy9kb3ducmV2LnhtbFBLAQIUABQAAAAIAIdO4kBe0O8NFAIAACEEAAAOAAAA&#10;AAAAAAEAIAAAACQBAABkcnMvZTJvRG9jLnhtbFBLBQYAAAAABgAGAFkBAACqBQAAAAA=&#10;">
                  <v:fill on="f" focussize="0,0"/>
                  <v:stroke on="f"/>
                  <v:imagedata o:title=""/>
                  <o:lock v:ext="edit" aspectratio="f"/>
                  <v:textbox inset="4.98464566929134pt,2.49220472440945pt,4.98464566929134pt,2.49220472440945pt">
                    <w:txbxContent>
                      <w:p>
                        <w:pPr>
                          <w:rPr>
                            <w:rFonts w:ascii="宋体" w:hAnsi="宋体"/>
                            <w:szCs w:val="21"/>
                          </w:rPr>
                        </w:pPr>
                        <w:r>
                          <w:rPr>
                            <w:rFonts w:hint="eastAsia" w:ascii="宋体" w:hAnsi="宋体"/>
                            <w:szCs w:val="21"/>
                          </w:rPr>
                          <w:t>电平台</w:t>
                        </w:r>
                      </w:p>
                    </w:txbxContent>
                  </v:textbox>
                </v:shape>
                <v:shape id="AutoShape 54" o:spid="_x0000_s1026" o:spt="32" type="#_x0000_t32" style="position:absolute;left:1559534;top:208403;height:290404;width:400;" filled="f" stroked="t" coordsize="21600,21600" o:gfxdata="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2NJDfVAAAABQEAAA8AAAAAAAAAAQAgAAAAIgAAAGRycy9k&#10;b3ducmV2LnhtbFBLAQIUABQAAAAIAIdO4kB2BzJJBQIAABwEAAAOAAAAAAAAAAEAIAAAACQBAABk&#10;cnMvZTJvRG9jLnhtbFBLBQYAAAAABgAGAFkBAACbBQAAAAA=&#10;">
                  <v:fill on="f" focussize="0,0"/>
                  <v:stroke color="#000000" joinstyle="round" startarrow="block" endarrow="block"/>
                  <v:imagedata o:title=""/>
                  <o:lock v:ext="edit" aspectratio="f"/>
                </v:shape>
                <v:shape id="AutoShape 55" o:spid="_x0000_s1026" o:spt="32" type="#_x0000_t32" style="position:absolute;left:1558834;top:1448122;height:290404;width:400;" filled="f" stroked="t" coordsize="21600,21600" o:gfxdata="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2NJDfVAAAABQEAAA8AAAAAAAAAAQAgAAAAIgAAAGRycy9k&#10;b3ducmV2LnhtbFBLAQIUABQAAAAIAIdO4kD/neLRBQIAAB0EAAAOAAAAAAAAAAEAIAAAACQBAABk&#10;cnMvZTJvRG9jLnhtbFBLBQYAAAAABgAGAFkBAACbBQAAAAA=&#10;">
                  <v:fill on="f" focussize="0,0"/>
                  <v:stroke color="#000000" joinstyle="round" startarrow="block" endarrow="block"/>
                  <v:imagedata o:title=""/>
                  <o:lock v:ext="edit" aspectratio="f"/>
                </v:shape>
                <v:shape id="AutoShape 56" o:spid="_x0000_s1026" o:spt="32" type="#_x0000_t32" style="position:absolute;left:1372630;top:499208;flip:x;height:948114;width:5500;" filled="f" stroked="t" coordsize="21600,21600" o:gfxdata="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maMI/UAAAABQEAAA8AAAAAAAAAAQAgAAAAIgAA&#10;AGRycy9kb3ducmV2LnhtbFBLAQIUABQAAAAIAIdO4kBpAxwXDAIAACcEAAAOAAAAAAAAAAEAIAAA&#10;ACMBAABkcnMvZTJvRG9jLnhtbFBLBQYAAAAABgAGAFkBAAChBQAAAAA=&#10;">
                  <v:fill on="f" focussize="0,0"/>
                  <v:stroke color="#000000" joinstyle="round" startarrow="block" endarrow="block"/>
                  <v:imagedata o:title=""/>
                  <o:lock v:ext="edit" aspectratio="f"/>
                </v:shape>
                <v:shape id="Text Box 57" o:spid="_x0000_s1026" o:spt="202" type="#_x0000_t202" style="position:absolute;left:1231927;top:813912;height:314005;width:294706;v-text-anchor:middle;" fillcolor="#FFFFFF" filled="t" stroked="f" coordsize="21600,21600" o:gfxdata="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JwPQrVAAAABQEAAA8AAAAAAAAAAQAgAAAAIgAAAGRycy9kb3ducmV2LnhtbFBLAQIUABQAAAAI&#10;AIdO4kBUegqqKQIAAEsEAAAOAAAAAAAAAAEAIAAAACQBAABkcnMvZTJvRG9jLnhtbFBLBQYAAAAA&#10;BgAGAFkBAAC/BQAAAAA=&#10;">
                  <v:fill on="t" focussize="0,0"/>
                  <v:stroke on="f"/>
                  <v:imagedata o:title=""/>
                  <o:lock v:ext="edit" aspectratio="f"/>
                  <v:textbox inset="4.98464566929134pt,2.49220472440945pt,4.98464566929134pt,2.49220472440945pt">
                    <w:txbxContent>
                      <w:p>
                        <w:pPr>
                          <w:jc w:val="center"/>
                          <w:rPr>
                            <w:i/>
                            <w:szCs w:val="21"/>
                            <w:vertAlign w:val="subscript"/>
                          </w:rPr>
                        </w:pPr>
                        <w:r>
                          <w:rPr>
                            <w:i/>
                            <w:szCs w:val="21"/>
                          </w:rPr>
                          <w:t>U</w:t>
                        </w:r>
                      </w:p>
                    </w:txbxContent>
                  </v:textbox>
                </v:shape>
                <v:shape id="Text Box 58" o:spid="_x0000_s1026" o:spt="202" type="#_x0000_t202" style="position:absolute;left:1558134;top:225603;height:273204;width:507711;v-text-anchor:middle;" filled="f" stroked="f" coordsize="21600,21600" o:gfxdata="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r7y00wAAAAUBAAAPAAAAAAAAAAEA&#10;IAAAACIAAABkcnMvZG93bnJldi54bWxQSwECFAAUAAAACACHTuJAn0MqZhQCAAAiBAAADgAAAAAA&#10;AAABACAAAAAiAQAAZHJzL2Uyb0RvYy54bWxQSwUGAAAAAAYABgBZAQAAqAUAAAAA&#10;">
                  <v:fill on="f" focussize="0,0"/>
                  <v:stroke on="f"/>
                  <v:imagedata o:title=""/>
                  <o:lock v:ext="edit" aspectratio="f"/>
                  <v:textbox inset="4.98464566929134pt,2.49220472440945pt,4.98464566929134pt,2.49220472440945pt">
                    <w:txbxContent>
                      <w:p>
                        <w:pPr>
                          <w:rPr>
                            <w:i/>
                            <w:color w:val="000000" w:themeColor="text1"/>
                            <w:szCs w:val="21"/>
                            <w:vertAlign w:val="superscript"/>
                            <w14:textFill>
                              <w14:solidFill>
                                <w14:schemeClr w14:val="tx1"/>
                              </w14:solidFill>
                            </w14:textFill>
                          </w:rPr>
                        </w:pPr>
                        <w:r>
                          <w:rPr>
                            <w:i/>
                            <w:color w:val="000000" w:themeColor="text1"/>
                            <w:szCs w:val="21"/>
                            <w14:textFill>
                              <w14:solidFill>
                                <w14:schemeClr w14:val="tx1"/>
                              </w14:solidFill>
                            </w14:textFill>
                          </w:rPr>
                          <w:t>U</w:t>
                        </w:r>
                        <w:r>
                          <w:rPr>
                            <w:color w:val="000000" w:themeColor="text1"/>
                            <w:szCs w:val="21"/>
                            <w:vertAlign w:val="subscript"/>
                            <w14:textFill>
                              <w14:solidFill>
                                <w14:schemeClr w14:val="tx1"/>
                              </w14:solidFill>
                            </w14:textFill>
                          </w:rPr>
                          <w:t>2</w:t>
                        </w:r>
                        <w:r>
                          <w:rPr>
                            <w:i/>
                            <w:color w:val="000000" w:themeColor="text1"/>
                            <w:szCs w:val="21"/>
                            <w:vertAlign w:val="superscript"/>
                            <w14:textFill>
                              <w14:solidFill>
                                <w14:schemeClr w14:val="tx1"/>
                              </w14:solidFill>
                            </w14:textFill>
                          </w:rPr>
                          <w:t>`</w:t>
                        </w:r>
                      </w:p>
                    </w:txbxContent>
                  </v:textbox>
                </v:shape>
                <v:shape id="Text Box 59" o:spid="_x0000_s1026" o:spt="202" type="#_x0000_t202" style="position:absolute;left:1562534;top:1461122;height:273204;width:507711;v-text-anchor:middle;" filled="f" stroked="f" coordsize="21600,21600" o:gfxdata="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8tNMAAAAFAQAADwAAAAAAAAAB&#10;ACAAAAAiAAAAZHJzL2Rvd25yZXYueG1sUEsBAhQAFAAAAAgAh07iQES3SVMVAgAAIwQAAA4AAAAA&#10;AAAAAQAgAAAAIgEAAGRycy9lMm9Eb2MueG1sUEsFBgAAAAAGAAYAWQEAAKkFAAAAAA==&#10;">
                  <v:fill on="f" focussize="0,0"/>
                  <v:stroke on="f"/>
                  <v:imagedata o:title=""/>
                  <o:lock v:ext="edit" aspectratio="f"/>
                  <v:textbox inset="4.98464566929134pt,2.49220472440945pt,4.98464566929134pt,2.49220472440945pt">
                    <w:txbxContent>
                      <w:p>
                        <w:pPr>
                          <w:rPr>
                            <w:i/>
                            <w:szCs w:val="21"/>
                            <w:vertAlign w:val="superscript"/>
                          </w:rPr>
                        </w:pPr>
                        <w:r>
                          <w:rPr>
                            <w:i/>
                            <w:szCs w:val="21"/>
                          </w:rPr>
                          <w:t>U</w:t>
                        </w:r>
                        <w:r>
                          <w:rPr>
                            <w:szCs w:val="21"/>
                            <w:vertAlign w:val="subscript"/>
                          </w:rPr>
                          <w:t>2</w:t>
                        </w:r>
                      </w:p>
                    </w:txbxContent>
                  </v:textbox>
                </v:shape>
                <v:rect id="Rectangle 60" o:spid="_x0000_s1026" o:spt="1" style="position:absolute;left:854018;top:1510723;height:154202;width:74302;" fillcolor="#FFFFFF" filled="t" stroked="t" coordsize="21600,21600" o:gfxdata="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t9fI71wAAAAUBAAAPAAAAAAAAAAEAIAAAACIAAABkcnMvZG93bnJldi54bWxQ&#10;SwECFAAUAAAACACHTuJAiNR8IDECAAB9BAAADgAAAAAAAAABACAAAAAmAQAAZHJzL2Uyb0RvYy54&#10;bWxQSwUGAAAAAAYABgBZAQAAyQUAAAAA&#10;">
                  <v:fill on="t" focussize="0,0"/>
                  <v:stroke color="#000000" miterlimit="8" joinstyle="miter"/>
                  <v:imagedata o:title=""/>
                  <o:lock v:ext="edit" aspectratio="f"/>
                  <v:textbox inset="4.98464566929134pt,2.49220472440945pt,4.98464566929134pt,2.49220472440945pt"/>
                </v:rect>
                <v:shape id="AutoShape 62" o:spid="_x0000_s1026" o:spt="32" type="#_x0000_t32" style="position:absolute;left:888519;top:1447322;height:63401;width:3000;"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FhJcNQAAAAF&#10;AQAADwAAAAAAAAABACAAAAAiAAAAZHJzL2Rvd25yZXYueG1sUEsBAhQAFAAAAAgAh07iQEsS0OHn&#10;AQAAwAMAAA4AAAAAAAAAAQAgAAAAIwEAAGRycy9lMm9Eb2MueG1sUEsFBgAAAAAGAAYAWQEAAHwF&#10;AAAAAA==&#10;">
                  <v:fill on="f" focussize="0,0"/>
                  <v:stroke color="#000000" joinstyle="round"/>
                  <v:imagedata o:title=""/>
                  <o:lock v:ext="edit" aspectratio="f"/>
                </v:shape>
                <v:shape id="AutoShape 63" o:spid="_x0000_s1026" o:spt="32" type="#_x0000_t32" style="position:absolute;left:891419;top:1664925;height:69401;width:1700;" filled="f" stroked="t" coordsize="21600,21600" o:gfxdata="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EWElw1AAAAAUBAAAP&#10;AAAAAAAAAAEAIAAAACIAAABkcnMvZG93bnJldi54bWxQSwECFAAUAAAACACHTuJAkXntYuMBAADA&#10;AwAADgAAAAAAAAABACAAAAAjAQAAZHJzL2Uyb0RvYy54bWxQSwUGAAAAAAYABgBZAQAAeAUAAAAA&#10;">
                  <v:fill on="f" focussize="0,0"/>
                  <v:stroke color="#000000" joinstyle="round"/>
                  <v:imagedata o:title=""/>
                  <o:lock v:ext="edit" aspectratio="f"/>
                </v:shape>
                <v:shape id="Text Box 64" o:spid="_x0000_s1026" o:spt="202" type="#_x0000_t202" style="position:absolute;left:589787;top:1454517;height:273204;width:507711;" filled="f" stroked="f" coordsize="21600,21600" o:gfxdata="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Ggn6TVAAAABQEAAA8AAAAAAAAA&#10;AQAgAAAAIgAAAGRycy9kb3ducmV2LnhtbFBLAQIUABQAAAAIAIdO4kB2DpuVFAIAACAEAAAOAAAA&#10;AAAAAAEAIAAAACQBAABkcnMvZTJvRG9jLnhtbFBLBQYAAAAABgAGAFkBAACqBQAAAAA=&#10;">
                  <v:fill on="f" focussize="0,0"/>
                  <v:stroke on="f"/>
                  <v:imagedata o:title=""/>
                  <o:lock v:ext="edit" aspectratio="f"/>
                  <v:textbox inset="4.98464566929134pt,2.49220472440945pt,4.98464566929134pt,2.49220472440945pt">
                    <w:txbxContent>
                      <w:p>
                        <w:pPr>
                          <w:rPr>
                            <w:i/>
                            <w:szCs w:val="21"/>
                            <w:vertAlign w:val="subscript"/>
                          </w:rPr>
                        </w:pPr>
                        <w:r>
                          <w:rPr>
                            <w:i/>
                            <w:szCs w:val="21"/>
                          </w:rPr>
                          <w:t>R</w:t>
                        </w:r>
                        <w:r>
                          <w:rPr>
                            <w:szCs w:val="21"/>
                            <w:vertAlign w:val="subscript"/>
                          </w:rPr>
                          <w:t>0</w:t>
                        </w:r>
                      </w:p>
                    </w:txbxContent>
                  </v:textbox>
                </v:shape>
                <w10:wrap type="none"/>
                <w10:anchorlock/>
              </v:group>
            </w:pict>
          </mc:Fallback>
        </mc:AlternateContent>
      </w:r>
    </w:p>
    <w:p>
      <w:pPr>
        <w:pStyle w:val="129"/>
        <w:spacing w:before="156" w:after="156"/>
        <w:rPr>
          <w:rFonts w:hAnsi="黑体"/>
        </w:rPr>
      </w:pPr>
      <w:r>
        <w:rPr>
          <w:rFonts w:hint="eastAsia" w:hAnsi="黑体"/>
          <w:szCs w:val="21"/>
        </w:rPr>
        <w:t>图</w:t>
      </w:r>
      <w:r>
        <w:rPr>
          <w:rFonts w:hAnsi="黑体"/>
          <w:szCs w:val="21"/>
        </w:rPr>
        <w:t xml:space="preserve">B.2 </w:t>
      </w:r>
      <w:r>
        <w:rPr>
          <w:rFonts w:hint="eastAsia" w:hAnsi="黑体"/>
          <w:szCs w:val="21"/>
        </w:rPr>
        <w:t>绝缘电阻测量步骤</w:t>
      </w:r>
      <w:r>
        <w:rPr>
          <w:rFonts w:hAnsi="黑体"/>
          <w:szCs w:val="21"/>
        </w:rPr>
        <w:t>2</w:t>
      </w:r>
    </w:p>
    <w:p>
      <w:pPr>
        <w:pStyle w:val="88"/>
        <w:spacing w:before="156" w:after="156"/>
      </w:pPr>
      <w:r>
        <w:rPr>
          <w:rFonts w:hint="eastAsia" w:asciiTheme="minorEastAsia" w:hAnsiTheme="minorEastAsia" w:eastAsiaTheme="minorEastAsia"/>
        </w:rPr>
        <w:t>计算绝缘电阻</w:t>
      </w:r>
      <w:r>
        <w:rPr>
          <w:rFonts w:ascii="Times New Roman"/>
          <w:i/>
        </w:rPr>
        <w:t>R</w:t>
      </w:r>
      <w:r>
        <w:rPr>
          <w:rFonts w:ascii="Times New Roman"/>
          <w:vertAlign w:val="subscript"/>
        </w:rPr>
        <w:t>i</w:t>
      </w:r>
      <w:r>
        <w:rPr>
          <w:rFonts w:hint="eastAsia" w:asciiTheme="minorEastAsia" w:hAnsiTheme="minorEastAsia" w:eastAsiaTheme="minorEastAsia"/>
        </w:rPr>
        <w:t>，方法如下：</w:t>
      </w:r>
    </w:p>
    <w:p>
      <w:pPr>
        <w:pStyle w:val="59"/>
        <w:widowControl w:val="0"/>
        <w:spacing w:before="156" w:beforeLines="50" w:after="156" w:afterLines="50"/>
        <w:ind w:firstLine="420" w:firstLineChars="200"/>
        <w:rPr>
          <w:szCs w:val="21"/>
        </w:rPr>
      </w:pPr>
      <w:r>
        <w:rPr>
          <w:rFonts w:ascii="Times New Roman"/>
          <w:i/>
          <w:szCs w:val="21"/>
        </w:rPr>
        <w:t>R</w:t>
      </w:r>
      <w:r>
        <w:rPr>
          <w:rFonts w:ascii="Times New Roman"/>
          <w:szCs w:val="21"/>
          <w:vertAlign w:val="subscript"/>
        </w:rPr>
        <w:t>i</w:t>
      </w:r>
      <w:r>
        <w:rPr>
          <w:rFonts w:hint="eastAsia"/>
          <w:szCs w:val="21"/>
        </w:rPr>
        <w:t>可以使用</w:t>
      </w:r>
      <w:r>
        <w:rPr>
          <w:rFonts w:ascii="Times New Roman"/>
          <w:i/>
          <w:szCs w:val="21"/>
        </w:rPr>
        <w:t>R</w:t>
      </w:r>
      <w:r>
        <w:rPr>
          <w:rFonts w:ascii="Times New Roman"/>
          <w:szCs w:val="21"/>
          <w:vertAlign w:val="subscript"/>
        </w:rPr>
        <w:t>0</w:t>
      </w:r>
      <w:r>
        <w:rPr>
          <w:rFonts w:hint="eastAsia"/>
          <w:szCs w:val="21"/>
        </w:rPr>
        <w:t>和四个电压值</w:t>
      </w:r>
      <w:r>
        <w:rPr>
          <w:rFonts w:ascii="Times New Roman"/>
          <w:i/>
          <w:szCs w:val="21"/>
        </w:rPr>
        <w:t>U</w:t>
      </w:r>
      <w:r>
        <w:rPr>
          <w:rFonts w:ascii="Times New Roman"/>
          <w:szCs w:val="21"/>
          <w:vertAlign w:val="subscript"/>
        </w:rPr>
        <w:t>1</w:t>
      </w:r>
      <w:r>
        <w:rPr>
          <w:rFonts w:hint="eastAsia"/>
          <w:szCs w:val="21"/>
        </w:rPr>
        <w:t>、</w:t>
      </w:r>
      <w:r>
        <w:rPr>
          <w:rFonts w:ascii="Times New Roman"/>
          <w:i/>
          <w:szCs w:val="21"/>
        </w:rPr>
        <w:t>U</w:t>
      </w:r>
      <w:r>
        <w:rPr>
          <w:rFonts w:ascii="Times New Roman"/>
          <w:szCs w:val="21"/>
          <w:vertAlign w:val="subscript"/>
        </w:rPr>
        <w:t>1</w:t>
      </w:r>
      <w:r>
        <w:rPr>
          <w:rFonts w:ascii="Times New Roman"/>
          <w:szCs w:val="21"/>
        </w:rPr>
        <w:t>`</w:t>
      </w:r>
      <w:r>
        <w:rPr>
          <w:rFonts w:hint="eastAsia"/>
          <w:szCs w:val="21"/>
        </w:rPr>
        <w:t>、</w:t>
      </w:r>
      <w:r>
        <w:rPr>
          <w:rFonts w:ascii="Times New Roman"/>
          <w:i/>
          <w:szCs w:val="21"/>
        </w:rPr>
        <w:t>U</w:t>
      </w:r>
      <w:r>
        <w:rPr>
          <w:rFonts w:ascii="Times New Roman"/>
          <w:szCs w:val="21"/>
          <w:vertAlign w:val="subscript"/>
        </w:rPr>
        <w:t>2</w:t>
      </w:r>
      <w:r>
        <w:rPr>
          <w:rFonts w:hint="eastAsia"/>
          <w:szCs w:val="21"/>
        </w:rPr>
        <w:t>和</w:t>
      </w:r>
      <w:r>
        <w:rPr>
          <w:rFonts w:ascii="Times New Roman"/>
          <w:i/>
          <w:szCs w:val="21"/>
        </w:rPr>
        <w:t>U</w:t>
      </w:r>
      <w:r>
        <w:rPr>
          <w:rFonts w:ascii="Times New Roman"/>
          <w:szCs w:val="21"/>
          <w:vertAlign w:val="subscript"/>
        </w:rPr>
        <w:t>2</w:t>
      </w:r>
      <w:r>
        <w:rPr>
          <w:rFonts w:ascii="Times New Roman"/>
          <w:szCs w:val="21"/>
        </w:rPr>
        <w:t>`</w:t>
      </w:r>
      <w:r>
        <w:rPr>
          <w:rFonts w:hint="eastAsia"/>
          <w:szCs w:val="21"/>
        </w:rPr>
        <w:t>以及电压检测设备内阻</w:t>
      </w:r>
      <w:r>
        <w:rPr>
          <w:rFonts w:ascii="Times New Roman"/>
          <w:i/>
          <w:szCs w:val="21"/>
        </w:rPr>
        <w:t>r</w:t>
      </w:r>
      <w:r>
        <w:rPr>
          <w:rFonts w:hint="eastAsia"/>
          <w:szCs w:val="21"/>
        </w:rPr>
        <w:t>，代入式</w:t>
      </w:r>
      <w:r>
        <w:rPr>
          <w:rFonts w:ascii="Times New Roman"/>
          <w:szCs w:val="21"/>
        </w:rPr>
        <w:t>（</w:t>
      </w:r>
      <w:r>
        <w:rPr>
          <w:rFonts w:hint="eastAsia" w:ascii="Times New Roman"/>
          <w:szCs w:val="21"/>
        </w:rPr>
        <w:t>B</w:t>
      </w:r>
      <w:r>
        <w:rPr>
          <w:rFonts w:ascii="Times New Roman"/>
          <w:szCs w:val="21"/>
        </w:rPr>
        <w:t>.1）</w:t>
      </w:r>
      <w:r>
        <w:rPr>
          <w:rFonts w:hint="eastAsia"/>
          <w:szCs w:val="21"/>
        </w:rPr>
        <w:t>或</w:t>
      </w:r>
      <w:r>
        <w:rPr>
          <w:rFonts w:ascii="Times New Roman"/>
          <w:szCs w:val="21"/>
        </w:rPr>
        <w:t>（</w:t>
      </w:r>
      <w:r>
        <w:rPr>
          <w:rFonts w:hint="eastAsia" w:ascii="Times New Roman"/>
          <w:szCs w:val="21"/>
        </w:rPr>
        <w:t>B</w:t>
      </w:r>
      <w:r>
        <w:rPr>
          <w:rFonts w:ascii="Times New Roman"/>
          <w:szCs w:val="21"/>
        </w:rPr>
        <w:t>.2）</w:t>
      </w:r>
      <w:r>
        <w:rPr>
          <w:rFonts w:hint="eastAsia"/>
          <w:szCs w:val="21"/>
        </w:rPr>
        <w:t>来计算。</w:t>
      </w:r>
    </w:p>
    <w:p>
      <w:pPr>
        <w:pStyle w:val="128"/>
        <w:widowControl w:val="0"/>
        <w:jc w:val="right"/>
      </w:pPr>
      <w:bookmarkStart w:id="1291" w:name="_Hlk9509187"/>
      <w:r>
        <w:rPr>
          <w:position w:val="-32"/>
        </w:rPr>
        <w:object>
          <v:shape id="_x0000_i1026" o:spt="75" type="#_x0000_t75" style="height:36.3pt;width:111.45pt;" o:ole="t" filled="f" o:preferrelative="t" stroked="f" coordsize="21600,21600">
            <v:path/>
            <v:fill on="f" focussize="0,0"/>
            <v:stroke on="f" joinstyle="miter"/>
            <v:imagedata r:id="rId27" o:title=""/>
            <o:lock v:ext="edit" aspectratio="t"/>
            <w10:wrap type="none"/>
            <w10:anchorlock/>
          </v:shape>
          <o:OLEObject Type="Embed" ProgID="Equation.DSMT4" ShapeID="_x0000_i1026" DrawAspect="Content" ObjectID="_1468075726" r:id="rId26">
            <o:LockedField>false</o:LockedField>
          </o:OLEObject>
        </w:object>
      </w:r>
      <w:r>
        <w:t>············································</w:t>
      </w:r>
      <w:r>
        <w:rPr>
          <w:rFonts w:hint="eastAsia"/>
        </w:rPr>
        <w:t>（</w:t>
      </w:r>
      <w:r>
        <w:rPr>
          <w:rFonts w:ascii="Times New Roman"/>
        </w:rPr>
        <w:t>B.1</w:t>
      </w:r>
      <w:r>
        <w:rPr>
          <w:rFonts w:hint="eastAsia"/>
        </w:rPr>
        <w:t>）</w:t>
      </w:r>
      <w:bookmarkEnd w:id="1291"/>
    </w:p>
    <w:p>
      <w:pPr>
        <w:pStyle w:val="128"/>
        <w:widowControl w:val="0"/>
        <w:jc w:val="right"/>
        <w:rPr>
          <w:color w:val="FF0000"/>
        </w:rPr>
      </w:pPr>
      <w:r>
        <w:tab/>
      </w:r>
      <w:r>
        <w:rPr>
          <w:position w:val="-96"/>
        </w:rPr>
        <w:object>
          <v:shape id="_x0000_i1027" o:spt="75" type="#_x0000_t75" style="height:67pt;width:117.1pt;" o:ole="t" filled="f" o:preferrelative="t" stroked="f" coordsize="21600,21600">
            <v:path/>
            <v:fill on="f" focussize="0,0"/>
            <v:stroke on="f" joinstyle="miter"/>
            <v:imagedata r:id="rId29" o:title=""/>
            <o:lock v:ext="edit" aspectratio="t"/>
            <w10:wrap type="none"/>
            <w10:anchorlock/>
          </v:shape>
          <o:OLEObject Type="Embed" ProgID="Equation.DSMT4" ShapeID="_x0000_i1027" DrawAspect="Content" ObjectID="_1468075727" r:id="rId28">
            <o:LockedField>false</o:LockedField>
          </o:OLEObject>
        </w:object>
      </w:r>
      <w:r>
        <w:t>·········································</w:t>
      </w:r>
      <w:r>
        <w:rPr>
          <w:rFonts w:hint="eastAsia"/>
        </w:rPr>
        <w:t>（</w:t>
      </w:r>
      <w:r>
        <w:rPr>
          <w:rFonts w:ascii="Times New Roman"/>
        </w:rPr>
        <w:t>B.2</w:t>
      </w:r>
      <w:r>
        <w:rPr>
          <w:rFonts w:hint="eastAsia"/>
        </w:rPr>
        <w:t>）</w:t>
      </w:r>
    </w:p>
    <w:p>
      <w:pPr>
        <w:pStyle w:val="103"/>
        <w:tabs>
          <w:tab w:val="left" w:pos="360"/>
        </w:tabs>
        <w:spacing w:before="156" w:after="156"/>
      </w:pPr>
      <w:r>
        <w:rPr>
          <w:rFonts w:hint="eastAsia"/>
        </w:rPr>
        <w:tab/>
      </w:r>
      <w:bookmarkStart w:id="1292" w:name="_Toc513234387"/>
      <w:bookmarkStart w:id="1293" w:name="_Toc510644267"/>
      <w:bookmarkStart w:id="1294" w:name="_Toc501358513"/>
      <w:bookmarkStart w:id="1295" w:name="_Toc512347149"/>
      <w:bookmarkStart w:id="1296" w:name="_Toc513232576"/>
      <w:bookmarkStart w:id="1297" w:name="_Toc511831744"/>
      <w:bookmarkStart w:id="1298" w:name="_Toc511045407"/>
      <w:bookmarkStart w:id="1299" w:name="_Toc512454300"/>
      <w:bookmarkStart w:id="1300" w:name="_Toc504059466"/>
      <w:r>
        <w:rPr>
          <w:rFonts w:hint="eastAsia"/>
        </w:rPr>
        <w:t>方法2</w:t>
      </w:r>
      <w:bookmarkEnd w:id="1292"/>
      <w:bookmarkEnd w:id="1293"/>
      <w:bookmarkEnd w:id="1294"/>
      <w:bookmarkEnd w:id="1295"/>
      <w:bookmarkEnd w:id="1296"/>
      <w:bookmarkEnd w:id="1297"/>
      <w:bookmarkEnd w:id="1298"/>
      <w:bookmarkEnd w:id="1299"/>
      <w:bookmarkEnd w:id="1300"/>
    </w:p>
    <w:p>
      <w:pPr>
        <w:pStyle w:val="88"/>
        <w:spacing w:before="156" w:after="156"/>
        <w:rPr>
          <w:rFonts w:asciiTheme="minorEastAsia" w:hAnsiTheme="minorEastAsia" w:eastAsiaTheme="minorEastAsia"/>
        </w:rPr>
      </w:pPr>
      <w:r>
        <w:rPr>
          <w:rFonts w:asciiTheme="minorEastAsia" w:hAnsiTheme="minorEastAsia" w:eastAsiaTheme="minorEastAsia"/>
        </w:rPr>
        <w:t>使电池包</w:t>
      </w:r>
      <w:r>
        <w:rPr>
          <w:rFonts w:hint="eastAsia" w:asciiTheme="minorEastAsia" w:hAnsiTheme="minorEastAsia" w:eastAsiaTheme="minorEastAsia"/>
        </w:rPr>
        <w:t>或</w:t>
      </w:r>
      <w:r>
        <w:rPr>
          <w:rFonts w:asciiTheme="minorEastAsia" w:hAnsiTheme="minorEastAsia" w:eastAsiaTheme="minorEastAsia"/>
        </w:rPr>
        <w:t>系统处于接通的状态</w:t>
      </w:r>
      <w:r>
        <w:rPr>
          <w:rFonts w:hint="eastAsia" w:asciiTheme="minorEastAsia" w:hAnsiTheme="minorEastAsia" w:eastAsiaTheme="minorEastAsia"/>
        </w:rPr>
        <w:t>。</w:t>
      </w:r>
    </w:p>
    <w:p>
      <w:pPr>
        <w:pStyle w:val="88"/>
        <w:spacing w:before="156" w:after="156"/>
        <w:rPr>
          <w:rFonts w:asciiTheme="minorEastAsia" w:hAnsiTheme="minorEastAsia" w:eastAsiaTheme="minorEastAsia"/>
        </w:rPr>
      </w:pPr>
      <w:r>
        <w:rPr>
          <w:rFonts w:asciiTheme="minorEastAsia" w:hAnsiTheme="minorEastAsia" w:eastAsiaTheme="minorEastAsia"/>
        </w:rPr>
        <w:t>使用绝缘电阻仪分别测量电池包</w:t>
      </w:r>
      <w:r>
        <w:rPr>
          <w:rFonts w:hint="eastAsia" w:asciiTheme="minorEastAsia" w:hAnsiTheme="minorEastAsia" w:eastAsiaTheme="minorEastAsia"/>
        </w:rPr>
        <w:t>或</w:t>
      </w:r>
      <w:r>
        <w:rPr>
          <w:rFonts w:asciiTheme="minorEastAsia" w:hAnsiTheme="minorEastAsia" w:eastAsiaTheme="minorEastAsia"/>
        </w:rPr>
        <w:t>系统</w:t>
      </w:r>
      <w:r>
        <w:rPr>
          <w:rFonts w:hint="eastAsia" w:asciiTheme="minorEastAsia" w:hAnsiTheme="minorEastAsia" w:eastAsiaTheme="minorEastAsia"/>
        </w:rPr>
        <w:t>两个端子</w:t>
      </w:r>
      <w:r>
        <w:rPr>
          <w:rFonts w:asciiTheme="minorEastAsia" w:hAnsiTheme="minorEastAsia" w:eastAsiaTheme="minorEastAsia"/>
        </w:rPr>
        <w:t>和电平台之间的绝缘电阻。</w:t>
      </w:r>
    </w:p>
    <w:p>
      <w:pPr>
        <w:pStyle w:val="59"/>
        <w:widowControl w:val="0"/>
        <w:spacing w:before="156" w:beforeLines="50" w:after="156" w:afterLines="50"/>
        <w:ind w:firstLine="360" w:firstLineChars="200"/>
        <w:rPr>
          <w:rFonts w:hAnsi="宋体"/>
          <w:sz w:val="18"/>
          <w:szCs w:val="18"/>
        </w:rPr>
      </w:pPr>
      <w:r>
        <w:rPr>
          <w:rFonts w:hint="eastAsia" w:ascii="黑体" w:hAnsi="黑体" w:eastAsia="黑体"/>
          <w:sz w:val="18"/>
          <w:szCs w:val="18"/>
        </w:rPr>
        <w:t>注：</w:t>
      </w:r>
      <w:r>
        <w:rPr>
          <w:rFonts w:hint="eastAsia" w:hAnsi="宋体"/>
          <w:sz w:val="18"/>
          <w:szCs w:val="18"/>
        </w:rPr>
        <w:t>电池包或系统的电平台可以是其与整车电平台连接的可导电外壳。</w:t>
      </w:r>
    </w:p>
    <w:p>
      <w:pPr>
        <w:pStyle w:val="88"/>
        <w:spacing w:before="156" w:after="156"/>
        <w:rPr>
          <w:rFonts w:ascii="Times New Roman" w:eastAsiaTheme="minorEastAsia"/>
        </w:rPr>
      </w:pPr>
      <w:r>
        <w:rPr>
          <w:rFonts w:ascii="Times New Roman" w:eastAsiaTheme="minorEastAsia"/>
        </w:rPr>
        <w:t>测量电压：使用的测量电压应为电池包或系统标称电压的1.5倍或500 V（DC）的电压，两者取较高值。测量时间：施加的电压应该足够长，以便获得稳定的读数，推荐值为30 s。</w:t>
      </w:r>
    </w:p>
    <w:p>
      <w:pPr>
        <w:widowControl/>
        <w:tabs>
          <w:tab w:val="left" w:pos="2850"/>
        </w:tabs>
        <w:jc w:val="left"/>
        <w:rPr>
          <w:rFonts w:eastAsia="黑体"/>
          <w:kern w:val="0"/>
          <w:szCs w:val="20"/>
        </w:rPr>
      </w:pPr>
      <w:r>
        <w:rPr>
          <w:rFonts w:eastAsia="黑体"/>
          <w:kern w:val="0"/>
          <w:szCs w:val="20"/>
        </w:rPr>
        <w:tab/>
      </w:r>
    </w:p>
    <w:p>
      <w:pPr>
        <w:widowControl/>
        <w:jc w:val="left"/>
        <w:rPr>
          <w:rFonts w:eastAsia="黑体"/>
          <w:kern w:val="0"/>
          <w:szCs w:val="20"/>
        </w:rPr>
      </w:pPr>
      <w:r>
        <w:rPr>
          <w:rFonts w:eastAsia="黑体"/>
          <w:kern w:val="0"/>
          <w:szCs w:val="20"/>
        </w:rPr>
        <w:br w:type="page"/>
      </w:r>
    </w:p>
    <w:p>
      <w:pPr>
        <w:pStyle w:val="84"/>
        <w:rPr>
          <w:rFonts w:ascii="Times New Roman"/>
        </w:rPr>
      </w:pPr>
      <w:r>
        <w:rPr>
          <w:rFonts w:ascii="Times New Roman"/>
        </w:rPr>
        <w:br w:type="textWrapping"/>
      </w:r>
      <w:bookmarkStart w:id="1301" w:name="_Toc468729619"/>
      <w:bookmarkStart w:id="1302" w:name="_Toc513234388"/>
      <w:r>
        <w:rPr>
          <w:rFonts w:hint="eastAsia" w:ascii="Times New Roman"/>
        </w:rPr>
        <w:t>（规范性附录）</w:t>
      </w:r>
      <w:r>
        <w:rPr>
          <w:rFonts w:ascii="Times New Roman"/>
        </w:rPr>
        <w:br w:type="textWrapping"/>
      </w:r>
      <w:bookmarkEnd w:id="1301"/>
      <w:r>
        <w:rPr>
          <w:rFonts w:hint="eastAsia" w:ascii="Times New Roman"/>
        </w:rPr>
        <w:t>热扩散分析与</w:t>
      </w:r>
      <w:r>
        <w:rPr>
          <w:rFonts w:ascii="Times New Roman"/>
        </w:rPr>
        <w:t>验证</w:t>
      </w:r>
      <w:r>
        <w:rPr>
          <w:rFonts w:hint="eastAsia" w:ascii="Times New Roman"/>
        </w:rPr>
        <w:t>报告</w:t>
      </w:r>
      <w:bookmarkEnd w:id="1302"/>
    </w:p>
    <w:p>
      <w:pPr>
        <w:pStyle w:val="102"/>
        <w:wordWrap/>
        <w:spacing w:before="156" w:beforeLines="50" w:after="156" w:afterLines="50"/>
        <w:ind w:left="0"/>
        <w:rPr>
          <w:rFonts w:ascii="Times New Roman" w:eastAsiaTheme="minorEastAsia"/>
        </w:rPr>
      </w:pPr>
      <w:bookmarkStart w:id="1303" w:name="_Toc512454302"/>
      <w:bookmarkStart w:id="1304" w:name="_Toc511831746"/>
      <w:bookmarkStart w:id="1305" w:name="_Toc510644269"/>
      <w:bookmarkStart w:id="1306" w:name="_Toc501358518"/>
      <w:bookmarkStart w:id="1307" w:name="_Toc504059471"/>
      <w:bookmarkStart w:id="1308" w:name="_Toc511045409"/>
      <w:bookmarkStart w:id="1309" w:name="_Toc512347151"/>
      <w:bookmarkStart w:id="1310" w:name="_Toc513232578"/>
      <w:bookmarkStart w:id="1311" w:name="_Toc513234389"/>
      <w:bookmarkStart w:id="1312" w:name="_Toc497749571"/>
      <w:r>
        <w:rPr>
          <w:rFonts w:hint="eastAsia" w:hAnsi="黑体"/>
        </w:rPr>
        <w:t>目的</w:t>
      </w:r>
    </w:p>
    <w:bookmarkEnd w:id="1303"/>
    <w:bookmarkEnd w:id="1304"/>
    <w:bookmarkEnd w:id="1305"/>
    <w:bookmarkEnd w:id="1306"/>
    <w:bookmarkEnd w:id="1307"/>
    <w:bookmarkEnd w:id="1308"/>
    <w:bookmarkEnd w:id="1309"/>
    <w:bookmarkEnd w:id="1310"/>
    <w:bookmarkEnd w:id="1311"/>
    <w:p>
      <w:pPr>
        <w:pStyle w:val="23"/>
      </w:pPr>
      <w:r>
        <w:rPr>
          <w:rFonts w:hint="eastAsia" w:ascii="Times New Roman" w:eastAsiaTheme="minorEastAsia"/>
        </w:rPr>
        <w:t>为保护乘员安全及财产安全，电池包或系统</w:t>
      </w:r>
      <w:r>
        <w:rPr>
          <w:rFonts w:hint="eastAsia" w:asciiTheme="minorEastAsia" w:hAnsiTheme="minorEastAsia" w:eastAsiaTheme="minorEastAsia"/>
          <w:shd w:val="clear" w:color="auto" w:fill="FFFFFF" w:themeFill="background1"/>
        </w:rPr>
        <w:t>在单个电池因内部短路引发的热失控后，应不起火、不爆炸，并在不晚于热失控发生后的</w:t>
      </w:r>
      <w:r>
        <w:rPr>
          <w:rFonts w:ascii="Times New Roman" w:eastAsiaTheme="minorEastAsia"/>
          <w:shd w:val="clear" w:color="auto" w:fill="FFFFFF" w:themeFill="background1"/>
        </w:rPr>
        <w:t>5 min</w:t>
      </w:r>
      <w:r>
        <w:rPr>
          <w:rFonts w:hint="eastAsia" w:asciiTheme="minorEastAsia" w:hAnsiTheme="minorEastAsia" w:eastAsiaTheme="minorEastAsia"/>
          <w:shd w:val="clear" w:color="auto" w:fill="FFFFFF" w:themeFill="background1"/>
        </w:rPr>
        <w:t>提供一个热事件报警信号，且</w:t>
      </w:r>
      <w:r>
        <w:rPr>
          <w:rFonts w:hint="eastAsia" w:ascii="Times New Roman"/>
        </w:rPr>
        <w:t>在发出热事件报警信号之前，以及发出热事件报警信号之后的5</w:t>
      </w:r>
      <w:r>
        <w:rPr>
          <w:rFonts w:ascii="Times New Roman"/>
        </w:rPr>
        <w:t xml:space="preserve"> </w:t>
      </w:r>
      <w:r>
        <w:rPr>
          <w:rFonts w:hint="eastAsia" w:ascii="Times New Roman"/>
        </w:rPr>
        <w:t>min内无可见烟气进入乘员舱。</w:t>
      </w:r>
    </w:p>
    <w:p>
      <w:pPr>
        <w:pStyle w:val="102"/>
        <w:wordWrap/>
        <w:spacing w:before="312" w:after="312"/>
        <w:ind w:left="0"/>
        <w:rPr>
          <w:rFonts w:hAnsi="黑体"/>
        </w:rPr>
      </w:pPr>
      <w:bookmarkStart w:id="1313" w:name="_Toc501358519"/>
      <w:bookmarkStart w:id="1314" w:name="_Toc504059472"/>
      <w:bookmarkStart w:id="1315" w:name="_Toc512347152"/>
      <w:bookmarkStart w:id="1316" w:name="_Toc511831747"/>
      <w:bookmarkStart w:id="1317" w:name="_Toc513232579"/>
      <w:bookmarkStart w:id="1318" w:name="_Toc511045410"/>
      <w:bookmarkStart w:id="1319" w:name="_Toc513234390"/>
      <w:bookmarkStart w:id="1320" w:name="_Toc510644270"/>
      <w:bookmarkStart w:id="1321" w:name="_Toc512454303"/>
      <w:r>
        <w:rPr>
          <w:rFonts w:hint="eastAsia" w:hAnsi="黑体"/>
        </w:rPr>
        <w:t>制造商定义的热事件报警信号</w:t>
      </w:r>
      <w:bookmarkEnd w:id="1313"/>
      <w:bookmarkEnd w:id="1314"/>
      <w:r>
        <w:rPr>
          <w:rFonts w:hint="eastAsia" w:hAnsi="黑体"/>
        </w:rPr>
        <w:t>说明</w:t>
      </w:r>
      <w:bookmarkEnd w:id="1315"/>
      <w:bookmarkEnd w:id="1316"/>
      <w:bookmarkEnd w:id="1317"/>
      <w:bookmarkEnd w:id="1318"/>
      <w:bookmarkEnd w:id="1319"/>
      <w:bookmarkEnd w:id="1320"/>
      <w:bookmarkEnd w:id="1321"/>
    </w:p>
    <w:p>
      <w:pPr>
        <w:pStyle w:val="103"/>
        <w:spacing w:before="156" w:after="156"/>
        <w:rPr>
          <w:rFonts w:ascii="Times New Roman" w:eastAsiaTheme="minorEastAsia"/>
        </w:rPr>
      </w:pPr>
      <w:bookmarkStart w:id="1322" w:name="_Toc511831748"/>
      <w:bookmarkStart w:id="1323" w:name="_Toc513234391"/>
      <w:bookmarkStart w:id="1324" w:name="_Toc501358520"/>
      <w:bookmarkStart w:id="1325" w:name="_Toc511045411"/>
      <w:bookmarkStart w:id="1326" w:name="_Toc510644271"/>
      <w:bookmarkStart w:id="1327" w:name="_Toc504059473"/>
      <w:bookmarkStart w:id="1328" w:name="_Toc512347153"/>
      <w:bookmarkStart w:id="1329" w:name="_Toc513232580"/>
      <w:bookmarkStart w:id="1330" w:name="_Toc512454304"/>
      <w:r>
        <w:rPr>
          <w:rFonts w:hint="eastAsia" w:ascii="Times New Roman" w:eastAsiaTheme="minorEastAsia"/>
        </w:rPr>
        <w:t>触发警告的热事件参数（例如温度、温升速率、</w:t>
      </w:r>
      <w:r>
        <w:rPr>
          <w:rFonts w:ascii="Times New Roman" w:eastAsiaTheme="minorEastAsia"/>
        </w:rPr>
        <w:t>SOC</w:t>
      </w:r>
      <w:r>
        <w:rPr>
          <w:rFonts w:hint="eastAsia" w:ascii="Times New Roman" w:eastAsiaTheme="minorEastAsia"/>
        </w:rPr>
        <w:t>、电压下降、电流等）和相关阈值水平（通</w:t>
      </w:r>
      <w:r>
        <w:rPr>
          <w:rFonts w:ascii="Times New Roman" w:eastAsiaTheme="minorEastAsia"/>
        </w:rPr>
        <w:t>常明显</w:t>
      </w:r>
      <w:r>
        <w:rPr>
          <w:rFonts w:hint="eastAsia" w:ascii="Times New Roman" w:eastAsiaTheme="minorEastAsia"/>
        </w:rPr>
        <w:t>区别于</w:t>
      </w:r>
      <w:r>
        <w:rPr>
          <w:rFonts w:ascii="Times New Roman" w:eastAsiaTheme="minorEastAsia"/>
        </w:rPr>
        <w:t>制造商</w:t>
      </w:r>
      <w:r>
        <w:rPr>
          <w:rFonts w:hint="eastAsia" w:ascii="Times New Roman" w:eastAsiaTheme="minorEastAsia"/>
        </w:rPr>
        <w:t>规定</w:t>
      </w:r>
      <w:r>
        <w:rPr>
          <w:rFonts w:ascii="Times New Roman" w:eastAsiaTheme="minorEastAsia"/>
        </w:rPr>
        <w:t>的工作状态）</w:t>
      </w:r>
      <w:r>
        <w:rPr>
          <w:rFonts w:hint="eastAsia" w:ascii="Times New Roman" w:eastAsiaTheme="minorEastAsia"/>
        </w:rPr>
        <w:t>。</w:t>
      </w:r>
      <w:bookmarkEnd w:id="1322"/>
      <w:bookmarkEnd w:id="1323"/>
      <w:bookmarkEnd w:id="1324"/>
      <w:bookmarkEnd w:id="1325"/>
      <w:bookmarkEnd w:id="1326"/>
      <w:bookmarkEnd w:id="1327"/>
      <w:bookmarkEnd w:id="1328"/>
      <w:bookmarkEnd w:id="1329"/>
      <w:bookmarkEnd w:id="1330"/>
    </w:p>
    <w:p>
      <w:pPr>
        <w:pStyle w:val="103"/>
        <w:spacing w:before="156" w:after="156"/>
        <w:rPr>
          <w:rFonts w:asciiTheme="minorEastAsia" w:hAnsiTheme="minorEastAsia" w:eastAsiaTheme="minorEastAsia"/>
        </w:rPr>
      </w:pPr>
      <w:bookmarkStart w:id="1331" w:name="_Toc513232581"/>
      <w:bookmarkStart w:id="1332" w:name="_Toc511831749"/>
      <w:bookmarkStart w:id="1333" w:name="_Toc512347154"/>
      <w:bookmarkStart w:id="1334" w:name="_Toc511045412"/>
      <w:bookmarkStart w:id="1335" w:name="_Toc504059474"/>
      <w:bookmarkStart w:id="1336" w:name="_Toc501358521"/>
      <w:bookmarkStart w:id="1337" w:name="_Toc512454305"/>
      <w:bookmarkStart w:id="1338" w:name="_Toc510644272"/>
      <w:bookmarkStart w:id="1339" w:name="_Toc513234392"/>
      <w:r>
        <w:rPr>
          <w:rFonts w:hint="eastAsia" w:asciiTheme="minorEastAsia" w:hAnsiTheme="minorEastAsia" w:eastAsiaTheme="minorEastAsia"/>
        </w:rPr>
        <w:t>警告信号说明：描述传感器以及在发生热事件时电池</w:t>
      </w:r>
      <w:r>
        <w:rPr>
          <w:rFonts w:asciiTheme="minorEastAsia" w:hAnsiTheme="minorEastAsia" w:eastAsiaTheme="minorEastAsia"/>
        </w:rPr>
        <w:t>包或系统</w:t>
      </w:r>
      <w:r>
        <w:rPr>
          <w:rFonts w:hint="eastAsia" w:asciiTheme="minorEastAsia" w:hAnsiTheme="minorEastAsia" w:eastAsiaTheme="minorEastAsia"/>
        </w:rPr>
        <w:t>控制说明。</w:t>
      </w:r>
      <w:bookmarkEnd w:id="1331"/>
      <w:bookmarkEnd w:id="1332"/>
      <w:bookmarkEnd w:id="1333"/>
      <w:bookmarkEnd w:id="1334"/>
      <w:bookmarkEnd w:id="1335"/>
      <w:bookmarkEnd w:id="1336"/>
      <w:bookmarkEnd w:id="1337"/>
      <w:bookmarkEnd w:id="1338"/>
      <w:bookmarkEnd w:id="1339"/>
    </w:p>
    <w:p>
      <w:pPr>
        <w:pStyle w:val="102"/>
        <w:wordWrap/>
        <w:spacing w:before="312" w:after="312"/>
        <w:ind w:left="0"/>
        <w:rPr>
          <w:rFonts w:ascii="Times New Roman" w:eastAsiaTheme="minorEastAsia"/>
        </w:rPr>
      </w:pPr>
      <w:bookmarkStart w:id="1340" w:name="_Toc513234393"/>
      <w:bookmarkStart w:id="1341" w:name="_Toc501358522"/>
      <w:bookmarkStart w:id="1342" w:name="_Toc504059475"/>
      <w:bookmarkStart w:id="1343" w:name="_Toc511045413"/>
      <w:bookmarkStart w:id="1344" w:name="_Toc511831750"/>
      <w:bookmarkStart w:id="1345" w:name="_Toc513232582"/>
      <w:bookmarkStart w:id="1346" w:name="_Toc510644273"/>
      <w:bookmarkStart w:id="1347" w:name="_Toc512347155"/>
      <w:bookmarkStart w:id="1348" w:name="_Toc512454306"/>
      <w:r>
        <w:rPr>
          <w:rFonts w:hint="eastAsia" w:hAnsi="黑体"/>
        </w:rPr>
        <w:t>说明电池包或系统安全性文件</w:t>
      </w:r>
    </w:p>
    <w:p>
      <w:pPr>
        <w:pStyle w:val="103"/>
        <w:spacing w:before="156" w:after="156"/>
        <w:rPr>
          <w:rFonts w:ascii="Times New Roman" w:eastAsiaTheme="minorEastAsia"/>
        </w:rPr>
      </w:pPr>
      <w:r>
        <w:rPr>
          <w:rFonts w:hint="eastAsia" w:ascii="Times New Roman" w:eastAsiaTheme="minorEastAsia"/>
        </w:rPr>
        <w:t>在单个电池热失控的情况下，在电池单体、电池包或系统或车辆中应具有实现C</w:t>
      </w:r>
      <w:r>
        <w:rPr>
          <w:rFonts w:ascii="Times New Roman" w:eastAsiaTheme="minorEastAsia"/>
        </w:rPr>
        <w:t xml:space="preserve">.1 </w:t>
      </w:r>
      <w:r>
        <w:rPr>
          <w:rFonts w:hint="eastAsia" w:ascii="Times New Roman" w:eastAsiaTheme="minorEastAsia"/>
        </w:rPr>
        <w:t>所述目的的功能或特性。制造商应提供C</w:t>
      </w:r>
      <w:r>
        <w:rPr>
          <w:rFonts w:ascii="Times New Roman" w:eastAsiaTheme="minorEastAsia"/>
        </w:rPr>
        <w:t>.3.2~</w:t>
      </w:r>
      <w:r>
        <w:rPr>
          <w:rFonts w:hint="eastAsia" w:ascii="Times New Roman" w:eastAsiaTheme="minorEastAsia"/>
        </w:rPr>
        <w:t>C.</w:t>
      </w:r>
      <w:r>
        <w:rPr>
          <w:rFonts w:ascii="Times New Roman" w:eastAsiaTheme="minorEastAsia"/>
        </w:rPr>
        <w:t>3.5</w:t>
      </w:r>
      <w:r>
        <w:rPr>
          <w:rFonts w:hint="eastAsia" w:ascii="Times New Roman" w:eastAsiaTheme="minorEastAsia"/>
        </w:rPr>
        <w:t>中说明电池包或系统或车辆安全性文件</w:t>
      </w:r>
      <w:bookmarkEnd w:id="1340"/>
      <w:bookmarkEnd w:id="1341"/>
      <w:bookmarkEnd w:id="1342"/>
      <w:bookmarkEnd w:id="1343"/>
      <w:bookmarkEnd w:id="1344"/>
      <w:bookmarkEnd w:id="1345"/>
      <w:bookmarkEnd w:id="1346"/>
      <w:bookmarkEnd w:id="1347"/>
      <w:bookmarkEnd w:id="1348"/>
      <w:r>
        <w:rPr>
          <w:rFonts w:hint="eastAsia" w:ascii="Times New Roman" w:eastAsiaTheme="minorEastAsia"/>
        </w:rPr>
        <w:t>。</w:t>
      </w:r>
    </w:p>
    <w:p>
      <w:pPr>
        <w:pStyle w:val="103"/>
        <w:spacing w:before="156" w:after="156"/>
        <w:rPr>
          <w:rFonts w:ascii="Times New Roman" w:eastAsiaTheme="minorEastAsia"/>
        </w:rPr>
      </w:pPr>
      <w:bookmarkStart w:id="1349" w:name="_Toc510644274"/>
      <w:bookmarkStart w:id="1350" w:name="_Toc511831751"/>
      <w:bookmarkStart w:id="1351" w:name="_Toc504059476"/>
      <w:bookmarkStart w:id="1352" w:name="_Toc511045414"/>
      <w:bookmarkStart w:id="1353" w:name="_Toc501358523"/>
      <w:bookmarkStart w:id="1354" w:name="_Toc513232583"/>
      <w:bookmarkStart w:id="1355" w:name="_Toc512347156"/>
      <w:bookmarkStart w:id="1356" w:name="_Toc513234394"/>
      <w:bookmarkStart w:id="1357" w:name="_Toc512454307"/>
      <w:r>
        <w:rPr>
          <w:rFonts w:ascii="Times New Roman" w:eastAsiaTheme="minorEastAsia"/>
        </w:rPr>
        <w:t>风险降低分析：使用适当的行业标准方法记录单个电池热失控所引起的对车辆乘员的风险</w:t>
      </w:r>
      <w:r>
        <w:rPr>
          <w:rFonts w:hint="eastAsia" w:ascii="Times New Roman" w:eastAsiaTheme="minorEastAsia"/>
        </w:rPr>
        <w:t>以及</w:t>
      </w:r>
      <w:r>
        <w:rPr>
          <w:rFonts w:ascii="Times New Roman" w:eastAsiaTheme="minorEastAsia"/>
        </w:rPr>
        <w:t>降低风险所采用的缓解功能或特征（例如</w:t>
      </w:r>
      <w:r>
        <w:rPr>
          <w:rFonts w:hint="eastAsia" w:ascii="Times New Roman" w:eastAsiaTheme="minorEastAsia"/>
        </w:rPr>
        <w:t>：GB/T 34590、</w:t>
      </w:r>
      <w:r>
        <w:rPr>
          <w:rFonts w:ascii="Times New Roman" w:eastAsiaTheme="minorEastAsia"/>
        </w:rPr>
        <w:t>ISO 26262、</w:t>
      </w:r>
      <w:r>
        <w:rPr>
          <w:rFonts w:hint="eastAsia" w:ascii="Times New Roman" w:eastAsiaTheme="minorEastAsia"/>
        </w:rPr>
        <w:t xml:space="preserve">GB/T </w:t>
      </w:r>
      <w:r>
        <w:rPr>
          <w:rFonts w:ascii="Times New Roman" w:eastAsiaTheme="minorEastAsia"/>
        </w:rPr>
        <w:t>20438</w:t>
      </w:r>
      <w:r>
        <w:rPr>
          <w:rFonts w:hint="eastAsia" w:ascii="Times New Roman" w:eastAsiaTheme="minorEastAsia"/>
        </w:rPr>
        <w:t>、</w:t>
      </w:r>
      <w:r>
        <w:rPr>
          <w:rFonts w:ascii="Times New Roman" w:eastAsiaTheme="minorEastAsia"/>
        </w:rPr>
        <w:t>IEC 61508中的故障分析或类似的方法）。</w:t>
      </w:r>
      <w:bookmarkEnd w:id="1349"/>
      <w:bookmarkEnd w:id="1350"/>
      <w:bookmarkEnd w:id="1351"/>
      <w:bookmarkEnd w:id="1352"/>
      <w:bookmarkEnd w:id="1353"/>
      <w:bookmarkEnd w:id="1354"/>
      <w:bookmarkEnd w:id="1355"/>
      <w:bookmarkEnd w:id="1356"/>
      <w:bookmarkEnd w:id="1357"/>
    </w:p>
    <w:p>
      <w:pPr>
        <w:pStyle w:val="103"/>
        <w:spacing w:before="156" w:after="156"/>
        <w:rPr>
          <w:rFonts w:asciiTheme="minorEastAsia" w:hAnsiTheme="minorEastAsia" w:eastAsiaTheme="minorEastAsia"/>
        </w:rPr>
      </w:pPr>
      <w:bookmarkStart w:id="1358" w:name="_Toc512454308"/>
      <w:bookmarkStart w:id="1359" w:name="_Toc510644275"/>
      <w:bookmarkStart w:id="1360" w:name="_Toc513234395"/>
      <w:bookmarkStart w:id="1361" w:name="_Toc504059477"/>
      <w:bookmarkStart w:id="1362" w:name="_Toc511831752"/>
      <w:bookmarkStart w:id="1363" w:name="_Toc501358524"/>
      <w:bookmarkStart w:id="1364" w:name="_Toc512347157"/>
      <w:bookmarkStart w:id="1365" w:name="_Toc511045415"/>
      <w:bookmarkStart w:id="1366" w:name="_Toc513232584"/>
      <w:r>
        <w:rPr>
          <w:rFonts w:hint="eastAsia" w:asciiTheme="minorEastAsia" w:hAnsiTheme="minorEastAsia" w:eastAsiaTheme="minorEastAsia"/>
        </w:rPr>
        <w:t>相关物理系统和组件的系统图。相关系统和组件是指有助于</w:t>
      </w:r>
      <w:r>
        <w:rPr>
          <w:rFonts w:hint="eastAsia" w:ascii="Times New Roman" w:eastAsiaTheme="minorEastAsia"/>
        </w:rPr>
        <w:t>实现C</w:t>
      </w:r>
      <w:r>
        <w:rPr>
          <w:rFonts w:ascii="Times New Roman" w:eastAsiaTheme="minorEastAsia"/>
        </w:rPr>
        <w:t xml:space="preserve">.1 </w:t>
      </w:r>
      <w:r>
        <w:rPr>
          <w:rFonts w:hint="eastAsia" w:ascii="Times New Roman" w:eastAsiaTheme="minorEastAsia"/>
        </w:rPr>
        <w:t>所述目的</w:t>
      </w:r>
      <w:r>
        <w:rPr>
          <w:rFonts w:hint="eastAsia" w:asciiTheme="minorEastAsia" w:hAnsiTheme="minorEastAsia" w:eastAsiaTheme="minorEastAsia"/>
        </w:rPr>
        <w:t>的系统和组件。</w:t>
      </w:r>
      <w:bookmarkEnd w:id="1358"/>
      <w:bookmarkEnd w:id="1359"/>
      <w:bookmarkEnd w:id="1360"/>
      <w:bookmarkEnd w:id="1361"/>
      <w:bookmarkEnd w:id="1362"/>
      <w:bookmarkEnd w:id="1363"/>
      <w:bookmarkEnd w:id="1364"/>
      <w:bookmarkEnd w:id="1365"/>
      <w:bookmarkEnd w:id="1366"/>
    </w:p>
    <w:p>
      <w:pPr>
        <w:pStyle w:val="103"/>
        <w:spacing w:before="156" w:after="156"/>
        <w:rPr>
          <w:rFonts w:asciiTheme="minorEastAsia" w:hAnsiTheme="minorEastAsia" w:eastAsiaTheme="minorEastAsia"/>
        </w:rPr>
      </w:pPr>
      <w:bookmarkStart w:id="1367" w:name="_Toc512454309"/>
      <w:bookmarkStart w:id="1368" w:name="_Toc513232585"/>
      <w:bookmarkStart w:id="1369" w:name="_Toc511045416"/>
      <w:bookmarkStart w:id="1370" w:name="_Toc501358525"/>
      <w:bookmarkStart w:id="1371" w:name="_Toc512347158"/>
      <w:bookmarkStart w:id="1372" w:name="_Toc513234396"/>
      <w:bookmarkStart w:id="1373" w:name="_Toc504059478"/>
      <w:bookmarkStart w:id="1374" w:name="_Toc510644276"/>
      <w:bookmarkStart w:id="1375" w:name="_Toc511831753"/>
      <w:r>
        <w:rPr>
          <w:rFonts w:hint="eastAsia" w:asciiTheme="minorEastAsia" w:hAnsiTheme="minorEastAsia" w:eastAsiaTheme="minorEastAsia"/>
        </w:rPr>
        <w:t>表示相关系统和组件的功能操作、确认所有风险缓解功能或特征的图表。</w:t>
      </w:r>
      <w:bookmarkEnd w:id="1367"/>
      <w:bookmarkEnd w:id="1368"/>
      <w:bookmarkEnd w:id="1369"/>
      <w:bookmarkEnd w:id="1370"/>
      <w:bookmarkEnd w:id="1371"/>
      <w:bookmarkEnd w:id="1372"/>
      <w:bookmarkEnd w:id="1373"/>
      <w:bookmarkEnd w:id="1374"/>
      <w:bookmarkEnd w:id="1375"/>
      <w:r>
        <w:rPr>
          <w:rFonts w:asciiTheme="minorEastAsia" w:hAnsiTheme="minorEastAsia" w:eastAsiaTheme="minorEastAsia"/>
        </w:rPr>
        <w:t xml:space="preserve"> </w:t>
      </w:r>
    </w:p>
    <w:p>
      <w:pPr>
        <w:pStyle w:val="103"/>
        <w:spacing w:before="156" w:after="156"/>
        <w:rPr>
          <w:rFonts w:asciiTheme="minorEastAsia" w:hAnsiTheme="minorEastAsia" w:eastAsiaTheme="minorEastAsia"/>
        </w:rPr>
      </w:pPr>
      <w:bookmarkStart w:id="1376" w:name="_Toc512347159"/>
      <w:bookmarkStart w:id="1377" w:name="_Toc511831754"/>
      <w:bookmarkStart w:id="1378" w:name="_Toc512454310"/>
      <w:bookmarkStart w:id="1379" w:name="_Toc513232586"/>
      <w:bookmarkStart w:id="1380" w:name="_Toc511045417"/>
      <w:bookmarkStart w:id="1381" w:name="_Toc513234397"/>
      <w:r>
        <w:rPr>
          <w:rFonts w:hint="eastAsia" w:asciiTheme="minorEastAsia" w:hAnsiTheme="minorEastAsia" w:eastAsiaTheme="minorEastAsia"/>
        </w:rPr>
        <w:t>制造商应</w:t>
      </w:r>
      <w:r>
        <w:rPr>
          <w:rFonts w:asciiTheme="minorEastAsia" w:hAnsiTheme="minorEastAsia" w:eastAsiaTheme="minorEastAsia"/>
        </w:rPr>
        <w:t>提供电池包或系统安全性</w:t>
      </w:r>
      <w:r>
        <w:rPr>
          <w:rFonts w:hint="eastAsia" w:asciiTheme="minorEastAsia" w:hAnsiTheme="minorEastAsia" w:eastAsiaTheme="minorEastAsia"/>
        </w:rPr>
        <w:t>的</w:t>
      </w:r>
      <w:r>
        <w:rPr>
          <w:rFonts w:asciiTheme="minorEastAsia" w:hAnsiTheme="minorEastAsia" w:eastAsiaTheme="minorEastAsia"/>
        </w:rPr>
        <w:t>风险缓解功能或</w:t>
      </w:r>
      <w:r>
        <w:rPr>
          <w:rFonts w:hint="eastAsia" w:asciiTheme="minorEastAsia" w:hAnsiTheme="minorEastAsia" w:eastAsiaTheme="minorEastAsia"/>
        </w:rPr>
        <w:t>特征</w:t>
      </w:r>
      <w:r>
        <w:rPr>
          <w:rFonts w:asciiTheme="minorEastAsia" w:hAnsiTheme="minorEastAsia" w:eastAsiaTheme="minorEastAsia"/>
        </w:rPr>
        <w:t>的</w:t>
      </w:r>
      <w:r>
        <w:rPr>
          <w:rFonts w:hint="eastAsia" w:asciiTheme="minorEastAsia" w:hAnsiTheme="minorEastAsia" w:eastAsiaTheme="minorEastAsia"/>
        </w:rPr>
        <w:t>验证程序</w:t>
      </w:r>
      <w:r>
        <w:rPr>
          <w:rFonts w:asciiTheme="minorEastAsia" w:hAnsiTheme="minorEastAsia" w:eastAsiaTheme="minorEastAsia"/>
        </w:rPr>
        <w:t>及</w:t>
      </w:r>
      <w:r>
        <w:rPr>
          <w:rFonts w:hint="eastAsia" w:asciiTheme="minorEastAsia" w:hAnsiTheme="minorEastAsia" w:eastAsiaTheme="minorEastAsia"/>
        </w:rPr>
        <w:t>结果</w:t>
      </w:r>
      <w:r>
        <w:rPr>
          <w:rFonts w:asciiTheme="minorEastAsia" w:hAnsiTheme="minorEastAsia" w:eastAsiaTheme="minorEastAsia"/>
        </w:rPr>
        <w:t>文件，</w:t>
      </w:r>
      <w:r>
        <w:rPr>
          <w:rFonts w:hint="eastAsia" w:asciiTheme="minorEastAsia" w:hAnsiTheme="minorEastAsia" w:eastAsiaTheme="minorEastAsia"/>
        </w:rPr>
        <w:t>包括</w:t>
      </w:r>
      <w:r>
        <w:rPr>
          <w:rFonts w:asciiTheme="minorEastAsia" w:hAnsiTheme="minorEastAsia" w:eastAsiaTheme="minorEastAsia"/>
        </w:rPr>
        <w:t>以下部分：</w:t>
      </w:r>
      <w:bookmarkEnd w:id="1376"/>
      <w:bookmarkEnd w:id="1377"/>
      <w:bookmarkEnd w:id="1378"/>
      <w:bookmarkEnd w:id="1379"/>
      <w:bookmarkEnd w:id="1380"/>
      <w:bookmarkEnd w:id="1381"/>
    </w:p>
    <w:p>
      <w:pPr>
        <w:pStyle w:val="23"/>
        <w:numPr>
          <w:ilvl w:val="0"/>
          <w:numId w:val="35"/>
        </w:numPr>
        <w:ind w:left="840" w:leftChars="200" w:hanging="420" w:hangingChars="200"/>
        <w:rPr>
          <w:rFonts w:ascii="Times New Roman" w:eastAsiaTheme="minorEastAsia"/>
        </w:rPr>
      </w:pPr>
      <w:r>
        <w:rPr>
          <w:rFonts w:hint="eastAsia" w:ascii="Times New Roman" w:eastAsiaTheme="minorEastAsia"/>
        </w:rPr>
        <w:t>对其操作策略的描述。</w:t>
      </w:r>
    </w:p>
    <w:p>
      <w:pPr>
        <w:pStyle w:val="23"/>
        <w:numPr>
          <w:ilvl w:val="0"/>
          <w:numId w:val="35"/>
        </w:numPr>
        <w:ind w:left="840" w:leftChars="200" w:hanging="420" w:hangingChars="200"/>
        <w:rPr>
          <w:rFonts w:ascii="Times New Roman" w:eastAsiaTheme="minorEastAsia"/>
        </w:rPr>
      </w:pPr>
      <w:r>
        <w:rPr>
          <w:rFonts w:hint="eastAsia" w:ascii="Times New Roman" w:eastAsiaTheme="minorEastAsia"/>
        </w:rPr>
        <w:t>实现功能的物理系统或组件的标识。</w:t>
      </w:r>
    </w:p>
    <w:p>
      <w:pPr>
        <w:pStyle w:val="23"/>
        <w:numPr>
          <w:ilvl w:val="0"/>
          <w:numId w:val="35"/>
        </w:numPr>
        <w:ind w:left="840" w:leftChars="200" w:hanging="420" w:hangingChars="200"/>
        <w:rPr>
          <w:rFonts w:ascii="Times New Roman" w:eastAsiaTheme="minorEastAsia"/>
        </w:rPr>
      </w:pPr>
      <w:r>
        <w:rPr>
          <w:rFonts w:hint="eastAsia" w:ascii="Times New Roman" w:eastAsiaTheme="minorEastAsia"/>
        </w:rPr>
        <w:t>说明风险缓解功能技术文书</w:t>
      </w:r>
      <w:r>
        <w:rPr>
          <w:rFonts w:ascii="Times New Roman" w:eastAsiaTheme="minorEastAsia"/>
        </w:rPr>
        <w:t>：</w:t>
      </w:r>
      <w:r>
        <w:rPr>
          <w:rFonts w:hint="eastAsia" w:ascii="Times New Roman" w:eastAsiaTheme="minorEastAsia"/>
        </w:rPr>
        <w:t>分析或模拟验证的程序和结果数据。</w:t>
      </w:r>
    </w:p>
    <w:p>
      <w:pPr>
        <w:pStyle w:val="23"/>
        <w:numPr>
          <w:ilvl w:val="0"/>
          <w:numId w:val="35"/>
        </w:numPr>
        <w:ind w:left="840" w:leftChars="200" w:hanging="420" w:hangingChars="200"/>
        <w:rPr>
          <w:rFonts w:ascii="Times New Roman" w:eastAsiaTheme="minorEastAsia"/>
        </w:rPr>
      </w:pPr>
      <w:r>
        <w:rPr>
          <w:rFonts w:hint="eastAsia" w:ascii="Times New Roman" w:eastAsiaTheme="minorEastAsia"/>
        </w:rPr>
        <w:t>说明风险缓解功能技术文书：验证试验的程序和结果数据。包括</w:t>
      </w:r>
      <w:r>
        <w:rPr>
          <w:rFonts w:ascii="Times New Roman" w:eastAsiaTheme="minorEastAsia"/>
        </w:rPr>
        <w:t>以下部分：</w:t>
      </w:r>
    </w:p>
    <w:p>
      <w:pPr>
        <w:pStyle w:val="59"/>
        <w:numPr>
          <w:ilvl w:val="1"/>
          <w:numId w:val="35"/>
        </w:numPr>
        <w:tabs>
          <w:tab w:val="left" w:pos="1260"/>
        </w:tabs>
        <w:ind w:left="1259" w:hanging="419"/>
        <w:jc w:val="both"/>
      </w:pPr>
      <w:r>
        <w:t>试验时间、地点</w:t>
      </w:r>
      <w:r>
        <w:rPr>
          <w:rFonts w:hint="eastAsia"/>
        </w:rPr>
        <w:t>及</w:t>
      </w:r>
      <w:r>
        <w:t>产品技术参数</w:t>
      </w:r>
      <w:r>
        <w:rPr>
          <w:rFonts w:hint="eastAsia"/>
        </w:rPr>
        <w:t>；</w:t>
      </w:r>
    </w:p>
    <w:p>
      <w:pPr>
        <w:pStyle w:val="59"/>
        <w:numPr>
          <w:ilvl w:val="1"/>
          <w:numId w:val="35"/>
        </w:numPr>
        <w:tabs>
          <w:tab w:val="left" w:pos="1260"/>
        </w:tabs>
        <w:ind w:left="1259" w:hanging="419"/>
        <w:jc w:val="both"/>
      </w:pPr>
      <w:r>
        <w:t>试验程序：包括</w:t>
      </w:r>
      <w:r>
        <w:rPr>
          <w:rFonts w:hint="eastAsia"/>
        </w:rPr>
        <w:t>试验</w:t>
      </w:r>
      <w:r>
        <w:t>方法、</w:t>
      </w:r>
      <w:r>
        <w:rPr>
          <w:rFonts w:hint="eastAsia"/>
        </w:rPr>
        <w:t>试验</w:t>
      </w:r>
      <w:r>
        <w:t>对象、</w:t>
      </w:r>
      <w:r>
        <w:rPr>
          <w:rFonts w:hint="eastAsia"/>
        </w:rPr>
        <w:t>触发</w:t>
      </w:r>
      <w:r>
        <w:t>对象、监控点布置方案</w:t>
      </w:r>
      <w:r>
        <w:rPr>
          <w:rFonts w:hint="eastAsia"/>
        </w:rPr>
        <w:t>、热失控触发</w:t>
      </w:r>
      <w:r>
        <w:t>判定条件以及对</w:t>
      </w:r>
      <w:r>
        <w:rPr>
          <w:rFonts w:hint="eastAsia"/>
        </w:rPr>
        <w:t>试验对象</w:t>
      </w:r>
      <w:r>
        <w:t>所做的改动清单等</w:t>
      </w:r>
      <w:r>
        <w:rPr>
          <w:rFonts w:hint="eastAsia"/>
        </w:rPr>
        <w:t>，</w:t>
      </w:r>
      <w:r>
        <w:t>制造商</w:t>
      </w:r>
      <w:r>
        <w:rPr>
          <w:rFonts w:hint="eastAsia"/>
        </w:rPr>
        <w:t>可</w:t>
      </w:r>
      <w:r>
        <w:t>自行提供</w:t>
      </w:r>
      <w:r>
        <w:rPr>
          <w:rFonts w:hint="eastAsia"/>
        </w:rPr>
        <w:t>试验</w:t>
      </w:r>
      <w:r>
        <w:t>程序，</w:t>
      </w:r>
      <w:r>
        <w:rPr>
          <w:rFonts w:hint="eastAsia"/>
        </w:rPr>
        <w:t>也可参考</w:t>
      </w:r>
      <w:r>
        <w:rPr>
          <w:rFonts w:ascii="Times New Roman"/>
        </w:rPr>
        <w:t>C.</w:t>
      </w:r>
      <w:r>
        <w:rPr>
          <w:rFonts w:hint="eastAsia" w:ascii="Times New Roman"/>
        </w:rPr>
        <w:t>5</w:t>
      </w:r>
      <w:r>
        <w:rPr>
          <w:rFonts w:hint="eastAsia"/>
        </w:rPr>
        <w:t>所述</w:t>
      </w:r>
      <w:r>
        <w:t>程序</w:t>
      </w:r>
      <w:r>
        <w:rPr>
          <w:rFonts w:hint="eastAsia"/>
        </w:rPr>
        <w:t>；</w:t>
      </w:r>
    </w:p>
    <w:p>
      <w:pPr>
        <w:pStyle w:val="59"/>
        <w:numPr>
          <w:ilvl w:val="1"/>
          <w:numId w:val="35"/>
        </w:numPr>
        <w:tabs>
          <w:tab w:val="left" w:pos="1260"/>
        </w:tabs>
        <w:ind w:left="1259" w:hanging="419"/>
        <w:jc w:val="both"/>
      </w:pPr>
      <w:r>
        <w:t>试验结果：</w:t>
      </w:r>
      <w:r>
        <w:rPr>
          <w:rFonts w:hint="eastAsia"/>
        </w:rPr>
        <w:t>包括试验关键事件（热失控触发开启、热失控触发停止、热</w:t>
      </w:r>
      <w:r>
        <w:t>事件报警信号、</w:t>
      </w:r>
      <w:r>
        <w:rPr>
          <w:rFonts w:hint="eastAsia"/>
        </w:rPr>
        <w:t>外部烟、火、爆炸等）的照片、数据和时间等。</w:t>
      </w:r>
    </w:p>
    <w:p>
      <w:pPr>
        <w:pStyle w:val="23"/>
        <w:numPr>
          <w:ilvl w:val="0"/>
          <w:numId w:val="35"/>
        </w:numPr>
        <w:ind w:left="840" w:leftChars="200" w:hanging="420" w:hangingChars="200"/>
      </w:pPr>
      <w:r>
        <w:rPr>
          <w:rFonts w:hint="default" w:ascii="Times New Roman" w:hAnsi="Times New Roman" w:cs="Times New Roman" w:eastAsiaTheme="minorEastAsia"/>
        </w:rPr>
        <w:t>如</w:t>
      </w:r>
      <w:r>
        <w:rPr>
          <w:rFonts w:hint="eastAsia" w:asciiTheme="minorEastAsia" w:hAnsiTheme="minorEastAsia" w:eastAsiaTheme="minorEastAsia"/>
        </w:rPr>
        <w:t>果制造商在C.5测试中使用电池包或系统作为试验对象，说明风险缓解功能技术文书应包括在发出热事件报警信号之前，以及发出热事件报警信号之后的</w:t>
      </w:r>
      <w:r>
        <w:rPr>
          <w:rFonts w:ascii="Times New Roman" w:eastAsiaTheme="minorEastAsia"/>
        </w:rPr>
        <w:t>5 min</w:t>
      </w:r>
      <w:r>
        <w:rPr>
          <w:rFonts w:hint="eastAsia" w:asciiTheme="minorEastAsia" w:hAnsiTheme="minorEastAsia" w:eastAsiaTheme="minorEastAsia"/>
        </w:rPr>
        <w:t>内无可见烟气进入乘员舱的技术说明文件。</w:t>
      </w:r>
    </w:p>
    <w:p>
      <w:pPr>
        <w:pStyle w:val="102"/>
        <w:wordWrap/>
        <w:spacing w:before="312" w:after="312"/>
        <w:ind w:left="0"/>
        <w:rPr>
          <w:rFonts w:hAnsi="黑体"/>
        </w:rPr>
      </w:pPr>
      <w:r>
        <w:rPr>
          <w:rFonts w:hint="eastAsia" w:hAnsi="黑体"/>
        </w:rPr>
        <w:t>验证与资料提供说明</w:t>
      </w:r>
    </w:p>
    <w:p>
      <w:pPr>
        <w:pStyle w:val="103"/>
        <w:spacing w:before="156" w:after="156"/>
        <w:rPr>
          <w:rFonts w:asciiTheme="minorEastAsia" w:hAnsiTheme="minorEastAsia" w:eastAsiaTheme="minorEastAsia"/>
        </w:rPr>
      </w:pPr>
      <w:bookmarkStart w:id="1382" w:name="_Toc511045418"/>
      <w:bookmarkStart w:id="1383" w:name="_Toc513234398"/>
      <w:bookmarkStart w:id="1384" w:name="_Toc512454311"/>
      <w:bookmarkStart w:id="1385" w:name="_Toc511831755"/>
      <w:bookmarkStart w:id="1386" w:name="_Toc512347160"/>
      <w:bookmarkStart w:id="1387" w:name="_Toc513232587"/>
      <w:r>
        <w:rPr>
          <w:rFonts w:hint="eastAsia" w:asciiTheme="minorEastAsia" w:hAnsiTheme="minorEastAsia" w:eastAsiaTheme="minorEastAsia"/>
        </w:rPr>
        <w:t>检测机构依据制造商提供的技术文书、试验程序进行结果验证，并提供试验报告。</w:t>
      </w:r>
      <w:bookmarkEnd w:id="1382"/>
      <w:bookmarkEnd w:id="1383"/>
      <w:bookmarkEnd w:id="1384"/>
      <w:bookmarkEnd w:id="1385"/>
      <w:bookmarkEnd w:id="1386"/>
      <w:bookmarkEnd w:id="1387"/>
    </w:p>
    <w:p>
      <w:pPr>
        <w:pStyle w:val="103"/>
        <w:spacing w:before="156" w:after="156"/>
        <w:rPr>
          <w:rFonts w:asciiTheme="minorEastAsia" w:hAnsiTheme="minorEastAsia" w:eastAsiaTheme="minorEastAsia"/>
        </w:rPr>
      </w:pPr>
      <w:bookmarkStart w:id="1388" w:name="_Toc512347161"/>
      <w:bookmarkStart w:id="1389" w:name="_Toc513232588"/>
      <w:bookmarkStart w:id="1390" w:name="_Toc512454312"/>
      <w:bookmarkStart w:id="1391" w:name="_Toc511831756"/>
      <w:bookmarkStart w:id="1392" w:name="_Toc513234399"/>
      <w:r>
        <w:rPr>
          <w:rFonts w:hint="eastAsia" w:asciiTheme="minorEastAsia" w:hAnsiTheme="minorEastAsia" w:eastAsiaTheme="minorEastAsia"/>
        </w:rPr>
        <w:t>热扩散乘员保护分析与验证报告应包含表C.1所列3项报告，其中第1项和第2项为制造商提供，第3项由检测机构出具。</w:t>
      </w:r>
      <w:bookmarkEnd w:id="1388"/>
      <w:bookmarkEnd w:id="1389"/>
      <w:bookmarkEnd w:id="1390"/>
      <w:bookmarkEnd w:id="1391"/>
      <w:bookmarkEnd w:id="1392"/>
    </w:p>
    <w:p>
      <w:pPr>
        <w:pStyle w:val="23"/>
        <w:ind w:firstLine="360"/>
        <w:rPr>
          <w:sz w:val="18"/>
          <w:szCs w:val="18"/>
        </w:rPr>
      </w:pPr>
      <w:r>
        <w:rPr>
          <w:rFonts w:hint="eastAsia" w:ascii="黑体" w:hAnsi="黑体" w:eastAsia="黑体"/>
          <w:sz w:val="18"/>
          <w:szCs w:val="18"/>
        </w:rPr>
        <w:t>注：</w:t>
      </w:r>
      <w:r>
        <w:rPr>
          <w:rFonts w:ascii="Times New Roman"/>
          <w:sz w:val="18"/>
          <w:szCs w:val="18"/>
        </w:rPr>
        <w:t>C.3.5</w:t>
      </w:r>
      <w:r>
        <w:rPr>
          <w:rFonts w:hint="eastAsia" w:ascii="Times New Roman"/>
          <w:sz w:val="18"/>
          <w:szCs w:val="18"/>
        </w:rPr>
        <w:t xml:space="preserve"> d)</w:t>
      </w:r>
      <w:r>
        <w:rPr>
          <w:rFonts w:hint="eastAsia"/>
          <w:sz w:val="18"/>
          <w:szCs w:val="18"/>
        </w:rPr>
        <w:t>与</w:t>
      </w:r>
      <w:r>
        <w:rPr>
          <w:rFonts w:ascii="Times New Roman"/>
          <w:sz w:val="18"/>
          <w:szCs w:val="18"/>
        </w:rPr>
        <w:t>C.4</w:t>
      </w:r>
      <w:r>
        <w:rPr>
          <w:rFonts w:hint="eastAsia"/>
          <w:sz w:val="18"/>
          <w:szCs w:val="18"/>
        </w:rPr>
        <w:t>所述</w:t>
      </w:r>
      <w:r>
        <w:rPr>
          <w:sz w:val="18"/>
          <w:szCs w:val="18"/>
        </w:rPr>
        <w:t>的验证试验可为</w:t>
      </w:r>
      <w:r>
        <w:rPr>
          <w:rFonts w:hint="eastAsia"/>
          <w:sz w:val="18"/>
          <w:szCs w:val="18"/>
        </w:rPr>
        <w:t>在</w:t>
      </w:r>
      <w:r>
        <w:rPr>
          <w:sz w:val="18"/>
          <w:szCs w:val="18"/>
        </w:rPr>
        <w:t>相同</w:t>
      </w:r>
      <w:r>
        <w:rPr>
          <w:rFonts w:hint="eastAsia"/>
          <w:sz w:val="18"/>
          <w:szCs w:val="18"/>
        </w:rPr>
        <w:t>检测</w:t>
      </w:r>
      <w:r>
        <w:rPr>
          <w:sz w:val="18"/>
          <w:szCs w:val="18"/>
        </w:rPr>
        <w:t>机构进行的同一试验。</w:t>
      </w:r>
    </w:p>
    <w:p>
      <w:pPr>
        <w:pStyle w:val="23"/>
        <w:spacing w:before="156" w:beforeLines="50" w:after="156" w:afterLines="50"/>
        <w:jc w:val="center"/>
        <w:rPr>
          <w:rFonts w:ascii="黑体" w:hAnsi="黑体" w:eastAsia="黑体"/>
        </w:rPr>
      </w:pPr>
      <w:r>
        <w:rPr>
          <w:rFonts w:hint="eastAsia" w:ascii="黑体" w:hAnsi="黑体" w:eastAsia="黑体"/>
        </w:rPr>
        <w:t>表</w:t>
      </w:r>
      <w:r>
        <w:rPr>
          <w:rFonts w:ascii="黑体" w:hAnsi="黑体" w:eastAsia="黑体"/>
        </w:rPr>
        <w:t xml:space="preserve">C.1 </w:t>
      </w:r>
      <w:r>
        <w:rPr>
          <w:rFonts w:hint="eastAsia" w:ascii="黑体" w:hAnsi="黑体" w:eastAsia="黑体"/>
        </w:rPr>
        <w:t xml:space="preserve"> 热扩散分析与验证报告详细内容</w:t>
      </w:r>
    </w:p>
    <w:tbl>
      <w:tblPr>
        <w:tblStyle w:val="34"/>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5"/>
        <w:gridCol w:w="5003"/>
        <w:gridCol w:w="3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0" w:type="pct"/>
            <w:vAlign w:val="center"/>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编号</w:t>
            </w:r>
          </w:p>
        </w:tc>
        <w:tc>
          <w:tcPr>
            <w:tcW w:w="2614" w:type="pct"/>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报告名称</w:t>
            </w:r>
          </w:p>
        </w:tc>
        <w:tc>
          <w:tcPr>
            <w:tcW w:w="1745" w:type="pct"/>
          </w:tcPr>
          <w:p>
            <w:pPr>
              <w:widowControl/>
              <w:jc w:val="center"/>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对应章节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0" w:type="pct"/>
            <w:vAlign w:val="center"/>
          </w:tcPr>
          <w:p>
            <w:pPr>
              <w:jc w:val="center"/>
              <w:rPr>
                <w:rFonts w:asciiTheme="majorEastAsia" w:hAnsiTheme="majorEastAsia" w:eastAsiaTheme="majorEastAsia"/>
                <w:sz w:val="18"/>
                <w:szCs w:val="18"/>
              </w:rPr>
            </w:pPr>
            <w:r>
              <w:rPr>
                <w:rFonts w:asciiTheme="majorEastAsia" w:hAnsiTheme="majorEastAsia" w:eastAsiaTheme="majorEastAsia"/>
                <w:color w:val="000000" w:themeColor="text1"/>
                <w:sz w:val="18"/>
                <w:szCs w:val="18"/>
                <w14:textFill>
                  <w14:solidFill>
                    <w14:schemeClr w14:val="tx1"/>
                  </w14:solidFill>
                </w14:textFill>
              </w:rPr>
              <w:t>1</w:t>
            </w:r>
          </w:p>
        </w:tc>
        <w:tc>
          <w:tcPr>
            <w:tcW w:w="2614" w:type="pct"/>
          </w:tcPr>
          <w:p>
            <w:pPr>
              <w:widowControl/>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制造商定义的热事件报警信号说明</w:t>
            </w:r>
          </w:p>
        </w:tc>
        <w:tc>
          <w:tcPr>
            <w:tcW w:w="1745" w:type="pct"/>
            <w:vAlign w:val="center"/>
          </w:tcPr>
          <w:p>
            <w:pPr>
              <w:widowControl/>
              <w:rPr>
                <w:rFonts w:asciiTheme="majorEastAsia" w:hAnsiTheme="majorEastAsia" w:eastAsiaTheme="majorEastAsia"/>
                <w:kern w:val="0"/>
                <w:sz w:val="18"/>
                <w:szCs w:val="18"/>
              </w:rPr>
            </w:pPr>
            <w:r>
              <w:rPr>
                <w:rFonts w:asciiTheme="majorEastAsia" w:hAnsiTheme="majorEastAsia" w:eastAsiaTheme="majorEastAsia"/>
                <w:kern w:val="0"/>
                <w:sz w:val="18"/>
                <w:szCs w:val="18"/>
              </w:rPr>
              <w:t>C</w:t>
            </w:r>
            <w:r>
              <w:rPr>
                <w:rFonts w:asciiTheme="majorEastAsia" w:hAnsiTheme="majorEastAsia" w:eastAsiaTheme="majorEastAsia"/>
                <w:sz w:val="18"/>
                <w:szCs w:val="18"/>
              </w:rPr>
              <w:t>.</w:t>
            </w:r>
            <w:r>
              <w:rPr>
                <w:rFonts w:hint="eastAsia" w:asciiTheme="majorEastAsia" w:hAnsiTheme="majorEastAsia" w:eastAsiaTheme="majorEastAsia"/>
                <w:kern w:val="0"/>
                <w:sz w:val="18"/>
                <w:szCs w:val="18"/>
              </w:rPr>
              <w:t>2.1、C</w:t>
            </w:r>
            <w:r>
              <w:rPr>
                <w:rFonts w:asciiTheme="majorEastAsia" w:hAnsiTheme="majorEastAsia" w:eastAsiaTheme="majorEastAsia"/>
                <w:sz w:val="18"/>
                <w:szCs w:val="18"/>
              </w:rPr>
              <w:t>.</w:t>
            </w:r>
            <w:r>
              <w:rPr>
                <w:rFonts w:asciiTheme="majorEastAsia" w:hAnsiTheme="majorEastAsia" w:eastAsiaTheme="majorEastAsia"/>
                <w:kern w:val="0"/>
                <w:sz w:val="18"/>
                <w:szCs w:val="18"/>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0" w:type="pct"/>
            <w:vAlign w:val="center"/>
          </w:tcPr>
          <w:p>
            <w:pPr>
              <w:jc w:val="center"/>
              <w:rPr>
                <w:rFonts w:asciiTheme="majorEastAsia" w:hAnsiTheme="majorEastAsia" w:eastAsiaTheme="majorEastAsia"/>
                <w:sz w:val="18"/>
                <w:szCs w:val="18"/>
              </w:rPr>
            </w:pPr>
            <w:r>
              <w:rPr>
                <w:rFonts w:asciiTheme="majorEastAsia" w:hAnsiTheme="majorEastAsia" w:eastAsiaTheme="majorEastAsia"/>
                <w:sz w:val="18"/>
                <w:szCs w:val="18"/>
              </w:rPr>
              <w:t>2</w:t>
            </w:r>
          </w:p>
        </w:tc>
        <w:tc>
          <w:tcPr>
            <w:tcW w:w="2614" w:type="pct"/>
          </w:tcPr>
          <w:p>
            <w:pPr>
              <w:widowControl/>
              <w:jc w:val="left"/>
              <w:rPr>
                <w:rFonts w:asciiTheme="majorEastAsia" w:hAnsiTheme="majorEastAsia" w:eastAsiaTheme="majorEastAsia"/>
                <w:kern w:val="0"/>
                <w:sz w:val="18"/>
                <w:szCs w:val="18"/>
              </w:rPr>
            </w:pPr>
            <w:r>
              <w:rPr>
                <w:rFonts w:hint="eastAsia" w:asciiTheme="majorEastAsia" w:hAnsiTheme="majorEastAsia" w:eastAsiaTheme="majorEastAsia"/>
                <w:sz w:val="18"/>
                <w:szCs w:val="18"/>
              </w:rPr>
              <w:t>说明电池包或系统安全性技术文件</w:t>
            </w:r>
          </w:p>
        </w:tc>
        <w:tc>
          <w:tcPr>
            <w:tcW w:w="1745" w:type="pct"/>
            <w:vAlign w:val="center"/>
          </w:tcPr>
          <w:p>
            <w:pPr>
              <w:widowControl/>
              <w:rPr>
                <w:rFonts w:asciiTheme="majorEastAsia" w:hAnsiTheme="majorEastAsia" w:eastAsiaTheme="majorEastAsia"/>
                <w:kern w:val="0"/>
                <w:sz w:val="18"/>
                <w:szCs w:val="18"/>
              </w:rPr>
            </w:pPr>
            <w:r>
              <w:rPr>
                <w:rFonts w:asciiTheme="majorEastAsia" w:hAnsiTheme="majorEastAsia" w:eastAsiaTheme="majorEastAsia"/>
                <w:kern w:val="0"/>
                <w:sz w:val="18"/>
                <w:szCs w:val="18"/>
              </w:rPr>
              <w:t>C</w:t>
            </w:r>
            <w:r>
              <w:rPr>
                <w:rFonts w:asciiTheme="majorEastAsia" w:hAnsiTheme="majorEastAsia" w:eastAsiaTheme="majorEastAsia"/>
                <w:sz w:val="18"/>
                <w:szCs w:val="18"/>
              </w:rPr>
              <w:t>.</w:t>
            </w:r>
            <w:r>
              <w:rPr>
                <w:rFonts w:asciiTheme="majorEastAsia" w:hAnsiTheme="majorEastAsia" w:eastAsiaTheme="majorEastAsia"/>
                <w:kern w:val="0"/>
                <w:sz w:val="18"/>
                <w:szCs w:val="18"/>
              </w:rPr>
              <w:t>3.2</w:t>
            </w:r>
            <w:r>
              <w:rPr>
                <w:rFonts w:hint="eastAsia" w:asciiTheme="majorEastAsia" w:hAnsiTheme="majorEastAsia" w:eastAsiaTheme="majorEastAsia"/>
                <w:sz w:val="18"/>
                <w:szCs w:val="18"/>
              </w:rPr>
              <w:t>、</w:t>
            </w:r>
            <w:r>
              <w:rPr>
                <w:rFonts w:asciiTheme="majorEastAsia" w:hAnsiTheme="majorEastAsia" w:eastAsiaTheme="majorEastAsia"/>
                <w:kern w:val="0"/>
                <w:sz w:val="18"/>
                <w:szCs w:val="18"/>
              </w:rPr>
              <w:t>C</w:t>
            </w:r>
            <w:r>
              <w:rPr>
                <w:rFonts w:asciiTheme="majorEastAsia" w:hAnsiTheme="majorEastAsia" w:eastAsiaTheme="majorEastAsia"/>
                <w:sz w:val="18"/>
                <w:szCs w:val="18"/>
              </w:rPr>
              <w:t>.</w:t>
            </w:r>
            <w:r>
              <w:rPr>
                <w:rFonts w:asciiTheme="majorEastAsia" w:hAnsiTheme="majorEastAsia" w:eastAsiaTheme="majorEastAsia"/>
                <w:kern w:val="0"/>
                <w:sz w:val="18"/>
                <w:szCs w:val="18"/>
              </w:rPr>
              <w:t>3.3</w:t>
            </w:r>
            <w:r>
              <w:rPr>
                <w:rFonts w:hint="eastAsia" w:asciiTheme="majorEastAsia" w:hAnsiTheme="majorEastAsia" w:eastAsiaTheme="majorEastAsia"/>
                <w:sz w:val="18"/>
                <w:szCs w:val="18"/>
              </w:rPr>
              <w:t>、</w:t>
            </w:r>
            <w:r>
              <w:rPr>
                <w:rFonts w:asciiTheme="majorEastAsia" w:hAnsiTheme="majorEastAsia" w:eastAsiaTheme="majorEastAsia"/>
                <w:kern w:val="0"/>
                <w:sz w:val="18"/>
                <w:szCs w:val="18"/>
              </w:rPr>
              <w:t>C.3.4</w:t>
            </w:r>
            <w:r>
              <w:rPr>
                <w:rFonts w:hint="eastAsia" w:asciiTheme="majorEastAsia" w:hAnsiTheme="majorEastAsia" w:eastAsiaTheme="majorEastAsia"/>
                <w:sz w:val="18"/>
                <w:szCs w:val="18"/>
              </w:rPr>
              <w:t>、C.3.</w:t>
            </w:r>
            <w:r>
              <w:rPr>
                <w:rFonts w:asciiTheme="majorEastAsia" w:hAnsiTheme="majorEastAsia" w:eastAsiaTheme="majorEastAsia"/>
                <w:sz w:val="18"/>
                <w:szCs w:val="1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0" w:type="pct"/>
            <w:vAlign w:val="center"/>
          </w:tcPr>
          <w:p>
            <w:pPr>
              <w:jc w:val="center"/>
              <w:rPr>
                <w:rFonts w:asciiTheme="majorEastAsia" w:hAnsiTheme="majorEastAsia" w:eastAsiaTheme="majorEastAsia"/>
                <w:color w:val="000000" w:themeColor="text1"/>
                <w:sz w:val="18"/>
                <w:szCs w:val="18"/>
                <w14:textFill>
                  <w14:solidFill>
                    <w14:schemeClr w14:val="tx1"/>
                  </w14:solidFill>
                </w14:textFill>
              </w:rPr>
            </w:pPr>
            <w:r>
              <w:rPr>
                <w:rFonts w:asciiTheme="majorEastAsia" w:hAnsiTheme="majorEastAsia" w:eastAsiaTheme="majorEastAsia"/>
                <w:color w:val="000000" w:themeColor="text1"/>
                <w:sz w:val="18"/>
                <w:szCs w:val="18"/>
                <w14:textFill>
                  <w14:solidFill>
                    <w14:schemeClr w14:val="tx1"/>
                  </w14:solidFill>
                </w14:textFill>
              </w:rPr>
              <w:t>3</w:t>
            </w:r>
          </w:p>
        </w:tc>
        <w:tc>
          <w:tcPr>
            <w:tcW w:w="2614" w:type="pct"/>
          </w:tcPr>
          <w:p>
            <w:pPr>
              <w:widowControl/>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检测机构依据制造商提供的技术文书、试验程序进行结果验证的</w:t>
            </w:r>
            <w:r>
              <w:rPr>
                <w:rFonts w:hint="eastAsia" w:asciiTheme="majorEastAsia" w:hAnsiTheme="majorEastAsia" w:eastAsiaTheme="majorEastAsia"/>
                <w:sz w:val="18"/>
                <w:szCs w:val="18"/>
              </w:rPr>
              <w:t>检测</w:t>
            </w:r>
            <w:r>
              <w:rPr>
                <w:rFonts w:hint="eastAsia" w:asciiTheme="majorEastAsia" w:hAnsiTheme="majorEastAsia" w:eastAsiaTheme="majorEastAsia"/>
                <w:kern w:val="0"/>
                <w:sz w:val="18"/>
                <w:szCs w:val="18"/>
              </w:rPr>
              <w:t>报告</w:t>
            </w:r>
          </w:p>
        </w:tc>
        <w:tc>
          <w:tcPr>
            <w:tcW w:w="1745" w:type="pct"/>
            <w:vAlign w:val="center"/>
          </w:tcPr>
          <w:p>
            <w:pPr>
              <w:widowControl/>
              <w:rPr>
                <w:rFonts w:asciiTheme="majorEastAsia" w:hAnsiTheme="majorEastAsia" w:eastAsiaTheme="majorEastAsia"/>
                <w:kern w:val="0"/>
                <w:sz w:val="18"/>
                <w:szCs w:val="18"/>
              </w:rPr>
            </w:pPr>
            <w:r>
              <w:rPr>
                <w:rFonts w:asciiTheme="majorEastAsia" w:hAnsiTheme="majorEastAsia" w:eastAsiaTheme="majorEastAsia"/>
                <w:kern w:val="0"/>
                <w:sz w:val="18"/>
                <w:szCs w:val="18"/>
              </w:rPr>
              <w:t>C</w:t>
            </w:r>
            <w:r>
              <w:rPr>
                <w:rFonts w:asciiTheme="majorEastAsia" w:hAnsiTheme="majorEastAsia" w:eastAsiaTheme="majorEastAsia"/>
                <w:sz w:val="18"/>
                <w:szCs w:val="18"/>
              </w:rPr>
              <w:t>.</w:t>
            </w:r>
            <w:r>
              <w:rPr>
                <w:rFonts w:asciiTheme="majorEastAsia" w:hAnsiTheme="majorEastAsia" w:eastAsiaTheme="majorEastAsia"/>
                <w:kern w:val="0"/>
                <w:sz w:val="18"/>
                <w:szCs w:val="18"/>
              </w:rPr>
              <w:t>4</w:t>
            </w:r>
          </w:p>
        </w:tc>
      </w:tr>
    </w:tbl>
    <w:p>
      <w:pPr>
        <w:pStyle w:val="102"/>
        <w:wordWrap/>
        <w:spacing w:before="312" w:after="312"/>
        <w:ind w:left="0"/>
        <w:rPr>
          <w:rFonts w:hAnsi="黑体"/>
          <w:sz w:val="18"/>
          <w:szCs w:val="18"/>
        </w:rPr>
      </w:pPr>
      <w:bookmarkStart w:id="1393" w:name="_Toc512454313"/>
      <w:bookmarkStart w:id="1394" w:name="_Toc512347162"/>
      <w:bookmarkStart w:id="1395" w:name="_Toc513232589"/>
      <w:bookmarkStart w:id="1396" w:name="_Toc511831757"/>
      <w:bookmarkStart w:id="1397" w:name="_Toc513234400"/>
      <w:r>
        <w:rPr>
          <w:rFonts w:hint="eastAsia" w:hAnsi="黑体"/>
        </w:rPr>
        <w:t>热扩散验证试验程序</w:t>
      </w:r>
      <w:bookmarkEnd w:id="1393"/>
      <w:bookmarkEnd w:id="1394"/>
      <w:bookmarkEnd w:id="1395"/>
      <w:bookmarkEnd w:id="1396"/>
      <w:bookmarkEnd w:id="1397"/>
    </w:p>
    <w:p>
      <w:pPr>
        <w:pStyle w:val="103"/>
        <w:spacing w:before="156" w:after="156"/>
        <w:rPr>
          <w:rFonts w:hAnsi="黑体"/>
        </w:rPr>
      </w:pPr>
      <w:bookmarkStart w:id="1398" w:name="_Toc513234401"/>
      <w:bookmarkStart w:id="1399" w:name="_Toc513232590"/>
      <w:r>
        <w:rPr>
          <w:rFonts w:hint="eastAsia" w:hAnsi="黑体"/>
        </w:rPr>
        <w:t>试验对象</w:t>
      </w:r>
      <w:bookmarkEnd w:id="1398"/>
      <w:bookmarkEnd w:id="1399"/>
    </w:p>
    <w:p>
      <w:pPr>
        <w:pStyle w:val="23"/>
        <w:spacing w:before="156" w:beforeLines="50" w:after="156" w:afterLines="50"/>
        <w:rPr>
          <w:rFonts w:ascii="Times New Roman"/>
        </w:rPr>
      </w:pPr>
      <w:r>
        <w:rPr>
          <w:rFonts w:ascii="Times New Roman"/>
        </w:rPr>
        <w:t>试验对象为电池包或系统</w:t>
      </w:r>
      <w:r>
        <w:rPr>
          <w:rFonts w:hint="eastAsia" w:ascii="Times New Roman"/>
        </w:rPr>
        <w:t>或整车</w:t>
      </w:r>
      <w:r>
        <w:rPr>
          <w:rFonts w:ascii="Times New Roman"/>
        </w:rPr>
        <w:t>。</w:t>
      </w:r>
    </w:p>
    <w:p>
      <w:pPr>
        <w:pStyle w:val="103"/>
        <w:spacing w:before="156" w:after="156"/>
        <w:rPr>
          <w:rFonts w:hAnsi="黑体"/>
        </w:rPr>
      </w:pPr>
      <w:bookmarkStart w:id="1400" w:name="_Toc512454315"/>
      <w:bookmarkStart w:id="1401" w:name="_Toc513234402"/>
      <w:bookmarkStart w:id="1402" w:name="_Toc511831759"/>
      <w:bookmarkStart w:id="1403" w:name="_Toc513232591"/>
      <w:bookmarkStart w:id="1404" w:name="_Toc512347164"/>
      <w:r>
        <w:rPr>
          <w:rFonts w:hint="eastAsia" w:hAnsi="黑体"/>
        </w:rPr>
        <w:t>试验条件</w:t>
      </w:r>
      <w:bookmarkEnd w:id="1400"/>
      <w:bookmarkEnd w:id="1401"/>
      <w:bookmarkEnd w:id="1402"/>
      <w:bookmarkEnd w:id="1403"/>
      <w:bookmarkEnd w:id="1404"/>
    </w:p>
    <w:p>
      <w:pPr>
        <w:pStyle w:val="23"/>
        <w:spacing w:before="156" w:beforeLines="50" w:after="156" w:afterLines="50"/>
      </w:pPr>
      <w:r>
        <w:rPr>
          <w:rFonts w:hint="eastAsia"/>
        </w:rPr>
        <w:t>试验应在以下条件进行：</w:t>
      </w:r>
    </w:p>
    <w:p>
      <w:pPr>
        <w:pStyle w:val="23"/>
        <w:numPr>
          <w:ilvl w:val="0"/>
          <w:numId w:val="36"/>
        </w:numPr>
        <w:ind w:left="840" w:leftChars="200" w:hanging="420" w:hangingChars="200"/>
        <w:jc w:val="left"/>
        <w:rPr>
          <w:rFonts w:ascii="Times New Roman" w:eastAsiaTheme="minorEastAsia"/>
          <w:szCs w:val="21"/>
        </w:rPr>
      </w:pPr>
      <w:r>
        <w:rPr>
          <w:rFonts w:ascii="Times New Roman" w:eastAsiaTheme="minorEastAsia"/>
          <w:szCs w:val="21"/>
        </w:rPr>
        <w:t>本试验在温度为</w:t>
      </w:r>
      <w:r>
        <w:rPr>
          <w:rFonts w:hint="eastAsia" w:ascii="Times New Roman" w:eastAsiaTheme="minorEastAsia"/>
          <w:szCs w:val="21"/>
        </w:rPr>
        <w:t>0</w:t>
      </w:r>
      <w:r>
        <w:rPr>
          <w:rFonts w:ascii="Times New Roman" w:eastAsiaTheme="minorEastAsia"/>
          <w:szCs w:val="21"/>
        </w:rPr>
        <w:t xml:space="preserve"> </w:t>
      </w:r>
      <w:r>
        <w:rPr>
          <w:rFonts w:hint="eastAsia" w:ascii="Times New Roman" w:eastAsiaTheme="minorEastAsia"/>
          <w:szCs w:val="21"/>
        </w:rPr>
        <w:t>℃</w:t>
      </w:r>
      <w:r>
        <w:rPr>
          <w:rFonts w:ascii="Times New Roman" w:eastAsiaTheme="minorEastAsia"/>
          <w:szCs w:val="21"/>
        </w:rPr>
        <w:t>以上，相对湿度为10%～90%，大气压力为86 kPa～106 kPa的环境中进行</w:t>
      </w:r>
      <w:r>
        <w:rPr>
          <w:rFonts w:hint="eastAsia" w:ascii="Times New Roman" w:eastAsiaTheme="minorEastAsia"/>
          <w:szCs w:val="21"/>
        </w:rPr>
        <w:t>；</w:t>
      </w:r>
      <w:r>
        <w:rPr>
          <w:rFonts w:ascii="Times New Roman" w:eastAsiaTheme="minorEastAsia"/>
          <w:szCs w:val="21"/>
        </w:rPr>
        <w:t xml:space="preserve"> </w:t>
      </w:r>
    </w:p>
    <w:p>
      <w:pPr>
        <w:pStyle w:val="23"/>
        <w:numPr>
          <w:ilvl w:val="0"/>
          <w:numId w:val="36"/>
        </w:numPr>
        <w:ind w:firstLineChars="0"/>
        <w:jc w:val="left"/>
        <w:rPr>
          <w:rFonts w:ascii="Times New Roman" w:eastAsiaTheme="minorEastAsia"/>
        </w:rPr>
      </w:pPr>
      <w:r>
        <w:rPr>
          <w:rFonts w:hint="eastAsia" w:ascii="Times New Roman" w:eastAsiaTheme="minorEastAsia"/>
          <w:szCs w:val="21"/>
        </w:rPr>
        <w:t>试验开始前，对</w:t>
      </w:r>
      <w:r>
        <w:rPr>
          <w:rFonts w:ascii="Times New Roman" w:eastAsiaTheme="minorEastAsia"/>
          <w:szCs w:val="21"/>
        </w:rPr>
        <w:t>试验对象</w:t>
      </w:r>
      <w:r>
        <w:rPr>
          <w:rFonts w:hint="eastAsia" w:ascii="Times New Roman" w:eastAsiaTheme="minorEastAsia"/>
          <w:szCs w:val="21"/>
        </w:rPr>
        <w:t>的SOC进行</w:t>
      </w:r>
      <w:r>
        <w:rPr>
          <w:rFonts w:ascii="Times New Roman" w:eastAsiaTheme="minorEastAsia"/>
          <w:szCs w:val="21"/>
        </w:rPr>
        <w:t>调整。</w:t>
      </w:r>
      <w:r>
        <w:rPr>
          <w:rFonts w:hint="eastAsia" w:ascii="Times New Roman" w:eastAsiaTheme="minorEastAsia"/>
          <w:szCs w:val="21"/>
        </w:rPr>
        <w:t>对于</w:t>
      </w:r>
      <w:r>
        <w:rPr>
          <w:rFonts w:ascii="Times New Roman" w:eastAsiaTheme="minorEastAsia"/>
          <w:szCs w:val="21"/>
        </w:rPr>
        <w:t>设计为外部充电的电池包或系统，</w:t>
      </w:r>
      <w:r>
        <w:rPr>
          <w:rFonts w:hint="eastAsia" w:ascii="Times New Roman" w:eastAsiaTheme="minorEastAsia"/>
          <w:szCs w:val="21"/>
        </w:rPr>
        <w:t>SOC调至</w:t>
      </w:r>
      <w:r>
        <w:rPr>
          <w:rFonts w:ascii="Times New Roman" w:eastAsiaTheme="minorEastAsia"/>
          <w:szCs w:val="21"/>
        </w:rPr>
        <w:t>不低于制造商规定的</w:t>
      </w:r>
      <w:r>
        <w:rPr>
          <w:rFonts w:hint="eastAsia" w:ascii="Times New Roman" w:eastAsiaTheme="minorEastAsia"/>
          <w:szCs w:val="21"/>
        </w:rPr>
        <w:t>最高工作荷电状态</w:t>
      </w:r>
      <w:r>
        <w:rPr>
          <w:rFonts w:ascii="Times New Roman" w:eastAsiaTheme="minorEastAsia"/>
          <w:szCs w:val="21"/>
        </w:rPr>
        <w:t>的</w:t>
      </w:r>
      <w:r>
        <w:rPr>
          <w:rFonts w:hint="eastAsia" w:ascii="Times New Roman" w:eastAsiaTheme="minorEastAsia"/>
          <w:szCs w:val="21"/>
        </w:rPr>
        <w:t>95</w:t>
      </w:r>
      <w:r>
        <w:rPr>
          <w:rFonts w:ascii="Times New Roman" w:eastAsiaTheme="minorEastAsia"/>
          <w:szCs w:val="21"/>
        </w:rPr>
        <w:t>%；对于设计为仅</w:t>
      </w:r>
      <w:r>
        <w:rPr>
          <w:rFonts w:hint="eastAsia" w:ascii="Times New Roman" w:eastAsiaTheme="minorEastAsia"/>
          <w:szCs w:val="21"/>
        </w:rPr>
        <w:t>通过</w:t>
      </w:r>
      <w:r>
        <w:rPr>
          <w:rFonts w:ascii="Times New Roman" w:eastAsiaTheme="minorEastAsia"/>
          <w:szCs w:val="21"/>
        </w:rPr>
        <w:t>车辆能源进行充电的电池包或系统，</w:t>
      </w:r>
      <w:r>
        <w:rPr>
          <w:rFonts w:hint="eastAsia" w:ascii="Times New Roman" w:eastAsiaTheme="minorEastAsia"/>
          <w:szCs w:val="21"/>
        </w:rPr>
        <w:t>SOC调至</w:t>
      </w:r>
      <w:r>
        <w:rPr>
          <w:rFonts w:ascii="Times New Roman" w:eastAsiaTheme="minorEastAsia"/>
          <w:szCs w:val="21"/>
        </w:rPr>
        <w:t>不低于制造商</w:t>
      </w:r>
      <w:r>
        <w:rPr>
          <w:rFonts w:hint="eastAsia" w:ascii="Times New Roman" w:eastAsiaTheme="minorEastAsia"/>
          <w:szCs w:val="21"/>
        </w:rPr>
        <w:t>规定的最高工作荷电状态</w:t>
      </w:r>
      <w:r>
        <w:rPr>
          <w:rFonts w:ascii="Times New Roman" w:eastAsiaTheme="minorEastAsia"/>
          <w:szCs w:val="21"/>
        </w:rPr>
        <w:t>的</w:t>
      </w:r>
      <w:r>
        <w:rPr>
          <w:rFonts w:hint="eastAsia" w:ascii="Times New Roman" w:eastAsiaTheme="minorEastAsia"/>
          <w:szCs w:val="21"/>
        </w:rPr>
        <w:t>90</w:t>
      </w:r>
      <w:r>
        <w:rPr>
          <w:rFonts w:ascii="Times New Roman" w:eastAsiaTheme="minorEastAsia"/>
          <w:szCs w:val="21"/>
        </w:rPr>
        <w:t>%</w:t>
      </w:r>
      <w:r>
        <w:rPr>
          <w:rFonts w:hint="eastAsia" w:ascii="Times New Roman" w:eastAsiaTheme="minorEastAsia"/>
        </w:rPr>
        <w:t>；</w:t>
      </w:r>
    </w:p>
    <w:p>
      <w:pPr>
        <w:pStyle w:val="23"/>
        <w:numPr>
          <w:ilvl w:val="0"/>
          <w:numId w:val="36"/>
        </w:numPr>
        <w:ind w:firstLineChars="0"/>
        <w:jc w:val="left"/>
        <w:rPr>
          <w:rFonts w:ascii="Times New Roman" w:eastAsiaTheme="minorEastAsia"/>
        </w:rPr>
      </w:pPr>
      <w:r>
        <w:rPr>
          <w:rFonts w:hint="eastAsia" w:ascii="Times New Roman" w:eastAsiaTheme="minorEastAsia"/>
        </w:rPr>
        <w:t>热扩散试验可能需要在测试开始前对整车或电池包或系统进行一定程度的改动，导致可能无法进行充电，需在试验开始前确认试验对象的SOC满足要求；</w:t>
      </w:r>
      <w:r>
        <w:rPr>
          <w:rFonts w:ascii="Times New Roman" w:eastAsiaTheme="minorEastAsia"/>
        </w:rPr>
        <w:t xml:space="preserve"> </w:t>
      </w:r>
    </w:p>
    <w:p>
      <w:pPr>
        <w:pStyle w:val="23"/>
        <w:numPr>
          <w:ilvl w:val="0"/>
          <w:numId w:val="36"/>
        </w:numPr>
        <w:ind w:left="840" w:leftChars="200" w:hanging="420" w:hangingChars="200"/>
        <w:jc w:val="left"/>
        <w:rPr>
          <w:rFonts w:ascii="Times New Roman" w:eastAsiaTheme="minorEastAsia"/>
        </w:rPr>
      </w:pPr>
      <w:r>
        <w:rPr>
          <w:rFonts w:ascii="Times New Roman" w:eastAsiaTheme="minorEastAsia"/>
        </w:rPr>
        <w:t>试验开始前，所有的试验装置正常运行</w:t>
      </w:r>
      <w:r>
        <w:rPr>
          <w:rFonts w:hint="eastAsia" w:ascii="Times New Roman" w:eastAsiaTheme="minorEastAsia"/>
        </w:rPr>
        <w:t>。对于整车层级测试，试验前</w:t>
      </w:r>
      <w:r>
        <w:rPr>
          <w:rFonts w:ascii="Times New Roman" w:eastAsiaTheme="minorEastAsia"/>
        </w:rPr>
        <w:t>车辆仪表盘和中控屏幕</w:t>
      </w:r>
      <w:r>
        <w:rPr>
          <w:rFonts w:hint="eastAsia" w:ascii="Times New Roman" w:eastAsiaTheme="minorEastAsia"/>
        </w:rPr>
        <w:t>应</w:t>
      </w:r>
      <w:r>
        <w:rPr>
          <w:rFonts w:ascii="Times New Roman" w:eastAsiaTheme="minorEastAsia"/>
        </w:rPr>
        <w:t>显示正常且无报警信息。乘员舱内应布置视频采集装置，并确保装置可以实时清晰地观察到完整乘员舱内部空间和车辆仪表盘和中控屏幕。车辆</w:t>
      </w:r>
      <w:r>
        <w:rPr>
          <w:rFonts w:hint="eastAsia" w:ascii="Times New Roman" w:eastAsiaTheme="minorEastAsia"/>
        </w:rPr>
        <w:t>控制策略采取</w:t>
      </w:r>
      <w:r>
        <w:rPr>
          <w:rFonts w:ascii="Times New Roman" w:eastAsiaTheme="minorEastAsia"/>
        </w:rPr>
        <w:t>高压</w:t>
      </w:r>
      <w:r>
        <w:rPr>
          <w:rFonts w:hint="eastAsia" w:ascii="Times New Roman" w:eastAsiaTheme="minorEastAsia"/>
        </w:rPr>
        <w:t>下</w:t>
      </w:r>
      <w:r>
        <w:rPr>
          <w:rFonts w:ascii="Times New Roman" w:eastAsiaTheme="minorEastAsia"/>
        </w:rPr>
        <w:t>电</w:t>
      </w:r>
      <w:r>
        <w:rPr>
          <w:rFonts w:hint="eastAsia" w:ascii="Times New Roman" w:eastAsiaTheme="minorEastAsia"/>
        </w:rPr>
        <w:t>1小时内</w:t>
      </w:r>
      <w:r>
        <w:rPr>
          <w:rFonts w:ascii="Times New Roman" w:eastAsiaTheme="minorEastAsia"/>
        </w:rPr>
        <w:t>状态</w:t>
      </w:r>
      <w:r>
        <w:rPr>
          <w:rFonts w:hint="eastAsia" w:ascii="Times New Roman" w:eastAsiaTheme="minorEastAsia"/>
        </w:rPr>
        <w:t>，</w:t>
      </w:r>
      <w:r>
        <w:rPr>
          <w:rFonts w:ascii="Times New Roman" w:eastAsiaTheme="minorEastAsia"/>
        </w:rPr>
        <w:t>驻车档位，车门锁止，车窗关闭，空调</w:t>
      </w:r>
      <w:r>
        <w:rPr>
          <w:rFonts w:hint="eastAsia" w:ascii="Times New Roman" w:eastAsiaTheme="minorEastAsia"/>
        </w:rPr>
        <w:t>关闭</w:t>
      </w:r>
      <w:r>
        <w:rPr>
          <w:rFonts w:ascii="Times New Roman" w:eastAsiaTheme="minorEastAsia"/>
        </w:rPr>
        <w:t>。</w:t>
      </w:r>
      <w:r>
        <w:rPr>
          <w:rFonts w:hint="eastAsia" w:ascii="Times New Roman" w:eastAsiaTheme="minorEastAsia"/>
        </w:rPr>
        <w:t>对于电池包或系统层级测试，电池包或系统操作状态（如电池管理系统、热管理系统是否运行）与整车高压下电1小时内状态时的控制策略保持一致；</w:t>
      </w:r>
    </w:p>
    <w:p>
      <w:pPr>
        <w:pStyle w:val="23"/>
        <w:numPr>
          <w:ilvl w:val="0"/>
          <w:numId w:val="36"/>
        </w:numPr>
        <w:ind w:left="840" w:leftChars="200" w:hanging="420" w:hangingChars="200"/>
        <w:jc w:val="left"/>
        <w:rPr>
          <w:rFonts w:ascii="Times New Roman" w:eastAsiaTheme="minorEastAsia"/>
        </w:rPr>
      </w:pPr>
      <w:r>
        <w:rPr>
          <w:rFonts w:ascii="Times New Roman" w:eastAsiaTheme="minorEastAsia"/>
        </w:rPr>
        <w:t>试验尽可能少地对测试样品进行改动，制造商需提交所做改动的清单</w:t>
      </w:r>
      <w:r>
        <w:rPr>
          <w:rFonts w:hint="eastAsia" w:ascii="Times New Roman" w:eastAsiaTheme="minorEastAsia"/>
        </w:rPr>
        <w:t>；</w:t>
      </w:r>
    </w:p>
    <w:p>
      <w:pPr>
        <w:pStyle w:val="23"/>
        <w:numPr>
          <w:ilvl w:val="0"/>
          <w:numId w:val="36"/>
        </w:numPr>
        <w:ind w:left="840" w:leftChars="200" w:hanging="420" w:hangingChars="200"/>
        <w:jc w:val="left"/>
        <w:rPr>
          <w:rFonts w:ascii="Times New Roman" w:eastAsiaTheme="minorEastAsia"/>
        </w:rPr>
      </w:pPr>
      <w:r>
        <w:rPr>
          <w:rFonts w:ascii="Times New Roman" w:eastAsiaTheme="minorEastAsia"/>
        </w:rPr>
        <w:t>试验在室内环境或者</w:t>
      </w:r>
      <w:r>
        <w:rPr>
          <w:rFonts w:hint="eastAsia" w:ascii="Times New Roman" w:eastAsiaTheme="minorEastAsia"/>
        </w:rPr>
        <w:t>风速</w:t>
      </w:r>
      <w:r>
        <w:rPr>
          <w:rFonts w:ascii="Times New Roman" w:eastAsiaTheme="minorEastAsia"/>
        </w:rPr>
        <w:t>不大于</w:t>
      </w:r>
      <w:r>
        <w:rPr>
          <w:rFonts w:hint="eastAsia" w:ascii="Times New Roman" w:eastAsiaTheme="minorEastAsia"/>
        </w:rPr>
        <w:t>2.5</w:t>
      </w:r>
      <w:r>
        <w:rPr>
          <w:rFonts w:ascii="Times New Roman" w:eastAsiaTheme="minorEastAsia"/>
        </w:rPr>
        <w:t xml:space="preserve"> </w:t>
      </w:r>
      <w:r>
        <w:rPr>
          <w:rFonts w:hint="eastAsia" w:ascii="Times New Roman" w:eastAsiaTheme="minorEastAsia"/>
        </w:rPr>
        <w:t>km/h的环境</w:t>
      </w:r>
      <w:r>
        <w:rPr>
          <w:rFonts w:ascii="Times New Roman" w:eastAsiaTheme="minorEastAsia"/>
        </w:rPr>
        <w:t>下进行。</w:t>
      </w:r>
    </w:p>
    <w:p>
      <w:pPr>
        <w:pStyle w:val="103"/>
        <w:spacing w:before="156" w:after="156"/>
        <w:rPr>
          <w:rFonts w:hAnsi="黑体"/>
        </w:rPr>
      </w:pPr>
      <w:bookmarkStart w:id="1405" w:name="_Toc512454316"/>
      <w:bookmarkStart w:id="1406" w:name="_Toc513234403"/>
      <w:bookmarkStart w:id="1407" w:name="_Toc511831760"/>
      <w:bookmarkStart w:id="1408" w:name="_Toc512347165"/>
      <w:bookmarkStart w:id="1409" w:name="_Toc513232592"/>
      <w:r>
        <w:rPr>
          <w:rFonts w:hint="eastAsia" w:hAnsi="黑体"/>
        </w:rPr>
        <w:t>试验方法</w:t>
      </w:r>
      <w:bookmarkEnd w:id="1405"/>
      <w:bookmarkEnd w:id="1406"/>
      <w:bookmarkEnd w:id="1407"/>
      <w:bookmarkEnd w:id="1408"/>
      <w:bookmarkEnd w:id="1409"/>
    </w:p>
    <w:p>
      <w:pPr>
        <w:pStyle w:val="88"/>
        <w:spacing w:before="156" w:after="156"/>
        <w:rPr>
          <w:rFonts w:ascii="Times New Roman" w:eastAsiaTheme="minorEastAsia"/>
        </w:rPr>
      </w:pPr>
      <w:r>
        <w:rPr>
          <w:rFonts w:ascii="Times New Roman" w:eastAsiaTheme="minorEastAsia"/>
        </w:rPr>
        <w:t>推荐</w:t>
      </w:r>
      <w:r>
        <w:rPr>
          <w:rFonts w:hint="eastAsia" w:ascii="Times New Roman" w:eastAsiaTheme="minorEastAsia"/>
        </w:rPr>
        <w:t>C</w:t>
      </w:r>
      <w:r>
        <w:rPr>
          <w:rFonts w:ascii="Times New Roman" w:eastAsiaTheme="minorEastAsia"/>
        </w:rPr>
        <w:t>.</w:t>
      </w:r>
      <w:r>
        <w:rPr>
          <w:rFonts w:hint="eastAsia" w:ascii="Times New Roman" w:eastAsiaTheme="minorEastAsia"/>
        </w:rPr>
        <w:t>5</w:t>
      </w:r>
      <w:r>
        <w:rPr>
          <w:rFonts w:ascii="Times New Roman" w:eastAsiaTheme="minorEastAsia"/>
        </w:rPr>
        <w:t>.3.3</w:t>
      </w:r>
      <w:r>
        <w:rPr>
          <w:rFonts w:hint="eastAsia" w:ascii="Times New Roman" w:eastAsiaTheme="minorEastAsia"/>
        </w:rPr>
        <w:t>、C</w:t>
      </w:r>
      <w:r>
        <w:rPr>
          <w:rFonts w:ascii="Times New Roman" w:eastAsiaTheme="minorEastAsia"/>
        </w:rPr>
        <w:t>.</w:t>
      </w:r>
      <w:r>
        <w:rPr>
          <w:rFonts w:hint="eastAsia" w:ascii="Times New Roman" w:eastAsiaTheme="minorEastAsia"/>
        </w:rPr>
        <w:t>5</w:t>
      </w:r>
      <w:r>
        <w:rPr>
          <w:rFonts w:ascii="Times New Roman" w:eastAsiaTheme="minorEastAsia"/>
        </w:rPr>
        <w:t>.3.4</w:t>
      </w:r>
      <w:r>
        <w:rPr>
          <w:rFonts w:hint="eastAsia" w:ascii="Times New Roman" w:eastAsiaTheme="minorEastAsia"/>
        </w:rPr>
        <w:t>、C</w:t>
      </w:r>
      <w:r>
        <w:rPr>
          <w:rFonts w:ascii="Times New Roman" w:eastAsiaTheme="minorEastAsia"/>
        </w:rPr>
        <w:t>.</w:t>
      </w:r>
      <w:r>
        <w:rPr>
          <w:rFonts w:hint="eastAsia" w:ascii="Times New Roman" w:eastAsiaTheme="minorEastAsia"/>
        </w:rPr>
        <w:t>5</w:t>
      </w:r>
      <w:r>
        <w:rPr>
          <w:rFonts w:ascii="Times New Roman" w:eastAsiaTheme="minorEastAsia"/>
        </w:rPr>
        <w:t>.3.5作为热扩散试验的</w:t>
      </w:r>
      <w:r>
        <w:rPr>
          <w:rFonts w:hint="eastAsia" w:ascii="Times New Roman" w:eastAsiaTheme="minorEastAsia"/>
        </w:rPr>
        <w:t>可选触发</w:t>
      </w:r>
      <w:r>
        <w:rPr>
          <w:rFonts w:ascii="Times New Roman" w:eastAsiaTheme="minorEastAsia"/>
        </w:rPr>
        <w:t>方法，制造商可以选择其中一种方法，也可自行选择其他方法来触发热失控。</w:t>
      </w:r>
    </w:p>
    <w:p>
      <w:pPr>
        <w:pStyle w:val="88"/>
        <w:spacing w:before="156" w:after="156"/>
        <w:rPr>
          <w:rFonts w:ascii="Times New Roman" w:eastAsiaTheme="minorEastAsia"/>
        </w:rPr>
      </w:pPr>
      <w:r>
        <w:rPr>
          <w:rFonts w:ascii="Times New Roman" w:eastAsiaTheme="minorEastAsia"/>
        </w:rPr>
        <w:t>热失控触发对象：</w:t>
      </w:r>
      <w:r>
        <w:rPr>
          <w:rFonts w:hint="eastAsia" w:ascii="Times New Roman" w:eastAsiaTheme="minorEastAsia"/>
        </w:rPr>
        <w:t>试验对象</w:t>
      </w:r>
      <w:r>
        <w:rPr>
          <w:rFonts w:ascii="Times New Roman" w:eastAsiaTheme="minorEastAsia"/>
        </w:rPr>
        <w:t>中的电池</w:t>
      </w:r>
      <w:r>
        <w:rPr>
          <w:rFonts w:hint="eastAsia" w:ascii="Times New Roman" w:eastAsiaTheme="minorEastAsia"/>
        </w:rPr>
        <w:t>单体。</w:t>
      </w:r>
      <w:r>
        <w:rPr>
          <w:rFonts w:ascii="Times New Roman" w:eastAsiaTheme="minorEastAsia"/>
        </w:rPr>
        <w:t>选择电池包内靠近中心位置，或者被其他电池</w:t>
      </w:r>
      <w:r>
        <w:rPr>
          <w:rFonts w:hint="eastAsia" w:ascii="Times New Roman" w:eastAsiaTheme="minorEastAsia"/>
        </w:rPr>
        <w:t>单体</w:t>
      </w:r>
      <w:r>
        <w:rPr>
          <w:rFonts w:ascii="Times New Roman" w:eastAsiaTheme="minorEastAsia"/>
        </w:rPr>
        <w:t>包围的电池</w:t>
      </w:r>
      <w:r>
        <w:rPr>
          <w:rFonts w:hint="eastAsia" w:ascii="Times New Roman" w:eastAsiaTheme="minorEastAsia"/>
        </w:rPr>
        <w:t>单体</w:t>
      </w:r>
      <w:r>
        <w:rPr>
          <w:rFonts w:ascii="Times New Roman" w:eastAsiaTheme="minorEastAsia"/>
        </w:rPr>
        <w:t>。</w:t>
      </w:r>
    </w:p>
    <w:p>
      <w:pPr>
        <w:pStyle w:val="88"/>
        <w:spacing w:before="156" w:afterLines="0"/>
        <w:rPr>
          <w:rFonts w:ascii="Times New Roman" w:eastAsiaTheme="minorEastAsia"/>
        </w:rPr>
      </w:pPr>
      <w:r>
        <w:rPr>
          <w:rFonts w:ascii="Times New Roman" w:eastAsiaTheme="minorEastAsia"/>
        </w:rPr>
        <w:t>针刺触发热失控</w:t>
      </w:r>
      <w:r>
        <w:rPr>
          <w:rFonts w:hint="eastAsia" w:ascii="Times New Roman" w:eastAsiaTheme="minorEastAsia"/>
        </w:rPr>
        <w:t>方法如下</w:t>
      </w:r>
      <w:r>
        <w:rPr>
          <w:rFonts w:ascii="Times New Roman" w:eastAsiaTheme="minorEastAsia"/>
        </w:rPr>
        <w:t>：</w:t>
      </w:r>
    </w:p>
    <w:p>
      <w:pPr>
        <w:pStyle w:val="23"/>
        <w:numPr>
          <w:ilvl w:val="0"/>
          <w:numId w:val="37"/>
        </w:numPr>
        <w:ind w:firstLineChars="0"/>
        <w:rPr>
          <w:rFonts w:ascii="Times New Roman" w:eastAsiaTheme="minorEastAsia"/>
          <w:szCs w:val="21"/>
        </w:rPr>
      </w:pPr>
      <w:r>
        <w:rPr>
          <w:rFonts w:ascii="Times New Roman" w:eastAsiaTheme="minorEastAsia"/>
          <w:szCs w:val="21"/>
        </w:rPr>
        <w:t>刺针材料：钢；</w:t>
      </w:r>
    </w:p>
    <w:p>
      <w:pPr>
        <w:pStyle w:val="23"/>
        <w:numPr>
          <w:ilvl w:val="0"/>
          <w:numId w:val="37"/>
        </w:numPr>
        <w:ind w:firstLineChars="0"/>
        <w:rPr>
          <w:rFonts w:ascii="Times New Roman" w:eastAsiaTheme="minorEastAsia"/>
          <w:szCs w:val="21"/>
        </w:rPr>
      </w:pPr>
      <w:r>
        <w:rPr>
          <w:rFonts w:ascii="Times New Roman" w:eastAsiaTheme="minorEastAsia"/>
          <w:szCs w:val="21"/>
        </w:rPr>
        <w:t>刺针直径：3 mm~8 mm；</w:t>
      </w:r>
    </w:p>
    <w:p>
      <w:pPr>
        <w:pStyle w:val="23"/>
        <w:numPr>
          <w:ilvl w:val="0"/>
          <w:numId w:val="37"/>
        </w:numPr>
        <w:ind w:firstLineChars="0"/>
        <w:rPr>
          <w:rFonts w:ascii="Times New Roman" w:eastAsiaTheme="minorEastAsia"/>
          <w:szCs w:val="21"/>
        </w:rPr>
      </w:pPr>
      <w:r>
        <w:rPr>
          <w:rFonts w:ascii="Times New Roman" w:eastAsiaTheme="minorEastAsia"/>
          <w:szCs w:val="21"/>
        </w:rPr>
        <w:t>针尖形状：圆锥形，角度为20°~60°；</w:t>
      </w:r>
    </w:p>
    <w:p>
      <w:pPr>
        <w:pStyle w:val="23"/>
        <w:numPr>
          <w:ilvl w:val="0"/>
          <w:numId w:val="37"/>
        </w:numPr>
        <w:ind w:firstLineChars="0"/>
        <w:rPr>
          <w:rFonts w:ascii="Times New Roman" w:eastAsiaTheme="minorEastAsia"/>
          <w:szCs w:val="21"/>
        </w:rPr>
      </w:pPr>
      <w:r>
        <w:rPr>
          <w:rFonts w:ascii="Times New Roman" w:eastAsiaTheme="minorEastAsia"/>
          <w:szCs w:val="21"/>
        </w:rPr>
        <w:t>针刺速度：0.1 mm/s ~1 mm/s；</w:t>
      </w:r>
    </w:p>
    <w:p>
      <w:pPr>
        <w:pStyle w:val="23"/>
        <w:numPr>
          <w:ilvl w:val="0"/>
          <w:numId w:val="37"/>
        </w:numPr>
        <w:ind w:firstLineChars="0"/>
        <w:rPr>
          <w:rFonts w:ascii="Times New Roman" w:eastAsiaTheme="minorEastAsia"/>
          <w:szCs w:val="21"/>
        </w:rPr>
      </w:pPr>
      <w:r>
        <w:rPr>
          <w:rFonts w:ascii="Times New Roman" w:eastAsiaTheme="minorEastAsia"/>
          <w:szCs w:val="21"/>
        </w:rPr>
        <w:t>针刺位置及方向：选择能触发电池</w:t>
      </w:r>
      <w:r>
        <w:rPr>
          <w:rFonts w:hint="eastAsia" w:ascii="Times New Roman" w:eastAsiaTheme="minorEastAsia"/>
          <w:szCs w:val="21"/>
        </w:rPr>
        <w:t>单体</w:t>
      </w:r>
      <w:r>
        <w:rPr>
          <w:rFonts w:ascii="Times New Roman" w:eastAsiaTheme="minorEastAsia"/>
          <w:szCs w:val="21"/>
        </w:rPr>
        <w:t>发生热失控的位置和方向（例如，垂直于极片的方向）</w:t>
      </w:r>
      <w:r>
        <w:rPr>
          <w:rFonts w:hint="eastAsia" w:ascii="Times New Roman" w:eastAsiaTheme="minorEastAsia"/>
          <w:szCs w:val="21"/>
        </w:rPr>
        <w:t>；</w:t>
      </w:r>
    </w:p>
    <w:p>
      <w:pPr>
        <w:pStyle w:val="23"/>
        <w:numPr>
          <w:ilvl w:val="0"/>
          <w:numId w:val="37"/>
        </w:numPr>
        <w:ind w:firstLineChars="0"/>
        <w:rPr>
          <w:rFonts w:ascii="Times New Roman" w:eastAsiaTheme="minorEastAsia"/>
          <w:szCs w:val="21"/>
        </w:rPr>
      </w:pPr>
      <w:r>
        <w:rPr>
          <w:rFonts w:hint="eastAsia" w:ascii="Times New Roman" w:eastAsiaTheme="minorEastAsia"/>
          <w:szCs w:val="21"/>
        </w:rPr>
        <w:t>针</w:t>
      </w:r>
      <w:r>
        <w:rPr>
          <w:rFonts w:ascii="Times New Roman" w:eastAsiaTheme="minorEastAsia"/>
          <w:szCs w:val="21"/>
        </w:rPr>
        <w:t>刺停止条件：直至热失控，或者针刺深度达到</w:t>
      </w:r>
      <w:r>
        <w:rPr>
          <w:rFonts w:hint="eastAsia" w:ascii="Times New Roman" w:eastAsiaTheme="minorEastAsia"/>
          <w:szCs w:val="21"/>
        </w:rPr>
        <w:t>触发</w:t>
      </w:r>
      <w:r>
        <w:rPr>
          <w:rFonts w:ascii="Times New Roman" w:eastAsiaTheme="minorEastAsia"/>
          <w:szCs w:val="21"/>
        </w:rPr>
        <w:t>电池</w:t>
      </w:r>
      <w:r>
        <w:rPr>
          <w:rFonts w:hint="eastAsia" w:ascii="Times New Roman" w:eastAsiaTheme="minorEastAsia"/>
          <w:szCs w:val="21"/>
        </w:rPr>
        <w:t>单体</w:t>
      </w:r>
      <w:r>
        <w:rPr>
          <w:rFonts w:ascii="Times New Roman" w:eastAsiaTheme="minorEastAsia"/>
          <w:szCs w:val="21"/>
        </w:rPr>
        <w:t>的90%</w:t>
      </w:r>
      <w:r>
        <w:rPr>
          <w:rFonts w:hint="eastAsia" w:ascii="Times New Roman" w:eastAsiaTheme="minorEastAsia"/>
          <w:szCs w:val="21"/>
        </w:rPr>
        <w:t>；</w:t>
      </w:r>
    </w:p>
    <w:p>
      <w:pPr>
        <w:pStyle w:val="23"/>
        <w:numPr>
          <w:ilvl w:val="0"/>
          <w:numId w:val="37"/>
        </w:numPr>
        <w:ind w:firstLineChars="0"/>
        <w:rPr>
          <w:rFonts w:ascii="Times New Roman" w:eastAsiaTheme="minorEastAsia"/>
          <w:szCs w:val="21"/>
        </w:rPr>
      </w:pPr>
      <w:r>
        <w:rPr>
          <w:rFonts w:hint="eastAsia" w:ascii="Times New Roman" w:eastAsiaTheme="minorEastAsia"/>
          <w:szCs w:val="21"/>
        </w:rPr>
        <w:t>电池包针刺孔位置宜采用密封材料进行封堵，抑制针刺孔排气情况。</w:t>
      </w:r>
    </w:p>
    <w:p>
      <w:pPr>
        <w:pStyle w:val="88"/>
        <w:spacing w:before="156" w:after="156"/>
        <w:rPr>
          <w:rFonts w:ascii="Times New Roman" w:eastAsiaTheme="minorEastAsia"/>
        </w:rPr>
      </w:pPr>
      <w:r>
        <w:rPr>
          <w:rFonts w:hint="eastAsia" w:ascii="Times New Roman" w:eastAsiaTheme="minorEastAsia"/>
        </w:rPr>
        <w:t>外部</w:t>
      </w:r>
      <w:r>
        <w:rPr>
          <w:rFonts w:ascii="Times New Roman" w:eastAsiaTheme="minorEastAsia"/>
        </w:rPr>
        <w:t>加热触发热失控</w:t>
      </w:r>
      <w:r>
        <w:rPr>
          <w:rFonts w:hint="eastAsia" w:ascii="Times New Roman" w:eastAsiaTheme="minorEastAsia"/>
        </w:rPr>
        <w:t>方法</w:t>
      </w:r>
      <w:r>
        <w:rPr>
          <w:rFonts w:ascii="Times New Roman" w:eastAsiaTheme="minorEastAsia"/>
        </w:rPr>
        <w:t>：使用平面状或者棒状加热装置，并且其表面应覆盖陶瓷</w:t>
      </w:r>
      <w:r>
        <w:rPr>
          <w:rFonts w:hint="eastAsia" w:ascii="Times New Roman" w:eastAsiaTheme="minorEastAsia"/>
        </w:rPr>
        <w:t>、</w:t>
      </w:r>
      <w:r>
        <w:rPr>
          <w:rFonts w:ascii="Times New Roman" w:eastAsiaTheme="minorEastAsia"/>
        </w:rPr>
        <w:t>金属或绝缘层。对于尺寸与电池</w:t>
      </w:r>
      <w:r>
        <w:rPr>
          <w:rFonts w:hint="eastAsia" w:ascii="Times New Roman" w:eastAsiaTheme="minorEastAsia"/>
        </w:rPr>
        <w:t>单体</w:t>
      </w:r>
      <w:r>
        <w:rPr>
          <w:rFonts w:ascii="Times New Roman" w:eastAsiaTheme="minorEastAsia"/>
        </w:rPr>
        <w:t>相同的块状加热装置，可用该加热装置代替其中一个电池</w:t>
      </w:r>
      <w:r>
        <w:rPr>
          <w:rFonts w:hint="eastAsia" w:ascii="Times New Roman" w:eastAsiaTheme="minorEastAsia"/>
        </w:rPr>
        <w:t>单体</w:t>
      </w:r>
      <w:r>
        <w:rPr>
          <w:rFonts w:ascii="Times New Roman" w:eastAsiaTheme="minorEastAsia"/>
        </w:rPr>
        <w:t>，与触发对象的表面直接接触；对于薄膜加热装置，则应将其始终附着在触发对象的表面；加热装置的加热面积都应不大于电池</w:t>
      </w:r>
      <w:r>
        <w:rPr>
          <w:rFonts w:hint="eastAsia" w:ascii="Times New Roman" w:eastAsiaTheme="minorEastAsia"/>
        </w:rPr>
        <w:t>单体</w:t>
      </w:r>
      <w:r>
        <w:rPr>
          <w:rFonts w:ascii="Times New Roman" w:eastAsiaTheme="minorEastAsia"/>
        </w:rPr>
        <w:t>的表面积；将加热装置的加热面与电池</w:t>
      </w:r>
      <w:r>
        <w:rPr>
          <w:rFonts w:hint="eastAsia" w:ascii="Times New Roman" w:eastAsiaTheme="minorEastAsia"/>
        </w:rPr>
        <w:t>单体</w:t>
      </w:r>
      <w:r>
        <w:rPr>
          <w:rFonts w:ascii="Times New Roman" w:eastAsiaTheme="minorEastAsia"/>
        </w:rPr>
        <w:t>表面直接接触，加热装置的位置应与C.</w:t>
      </w:r>
      <w:r>
        <w:rPr>
          <w:rFonts w:hint="eastAsia" w:ascii="Times New Roman" w:eastAsiaTheme="minorEastAsia"/>
        </w:rPr>
        <w:t>5</w:t>
      </w:r>
      <w:r>
        <w:rPr>
          <w:rFonts w:ascii="Times New Roman" w:eastAsiaTheme="minorEastAsia"/>
        </w:rPr>
        <w:t>.3.5中规定的温度传感器的位置相对应；对触发对象进行加热</w:t>
      </w:r>
      <w:r>
        <w:rPr>
          <w:rFonts w:hint="eastAsia" w:ascii="Times New Roman" w:eastAsiaTheme="minorEastAsia"/>
        </w:rPr>
        <w:t>，推荐的</w:t>
      </w:r>
      <w:r>
        <w:rPr>
          <w:rFonts w:ascii="Times New Roman" w:eastAsiaTheme="minorEastAsia"/>
        </w:rPr>
        <w:t>加热功率</w:t>
      </w:r>
      <w:r>
        <w:rPr>
          <w:rFonts w:hint="eastAsia" w:ascii="Times New Roman" w:eastAsiaTheme="minorEastAsia"/>
        </w:rPr>
        <w:t>要求见</w:t>
      </w:r>
      <w:r>
        <w:rPr>
          <w:rFonts w:ascii="Times New Roman" w:eastAsiaTheme="minorEastAsia"/>
        </w:rPr>
        <w:t>表C.2；</w:t>
      </w:r>
      <w:r>
        <w:rPr>
          <w:rFonts w:hint="eastAsia" w:asciiTheme="minorEastAsia" w:hAnsiTheme="minorEastAsia" w:eastAsiaTheme="minorEastAsia" w:cstheme="minorEastAsia"/>
        </w:rPr>
        <w:t>当发生热失控或者</w:t>
      </w:r>
      <w:r>
        <w:rPr>
          <w:rFonts w:ascii="Times New Roman" w:eastAsiaTheme="minorEastAsia"/>
        </w:rPr>
        <w:t>C.</w:t>
      </w:r>
      <w:r>
        <w:rPr>
          <w:rFonts w:hint="eastAsia" w:ascii="Times New Roman" w:eastAsiaTheme="minorEastAsia"/>
        </w:rPr>
        <w:t>5</w:t>
      </w:r>
      <w:r>
        <w:rPr>
          <w:rFonts w:ascii="Times New Roman" w:eastAsiaTheme="minorEastAsia"/>
        </w:rPr>
        <w:t>.3.5</w:t>
      </w:r>
      <w:r>
        <w:rPr>
          <w:rFonts w:hint="eastAsia" w:asciiTheme="minorEastAsia" w:hAnsiTheme="minorEastAsia" w:eastAsiaTheme="minorEastAsia" w:cstheme="minorEastAsia"/>
        </w:rPr>
        <w:t>定义的监测点温度达到300</w:t>
      </w:r>
      <w:r>
        <w:rPr>
          <w:rFonts w:asciiTheme="minorEastAsia" w:hAnsiTheme="minorEastAsia" w:eastAsiaTheme="minorEastAsia" w:cstheme="minorEastAsia"/>
        </w:rPr>
        <w:t xml:space="preserve"> </w:t>
      </w:r>
      <w:r>
        <w:rPr>
          <w:rFonts w:hint="eastAsia" w:asciiTheme="minorEastAsia" w:hAnsiTheme="minorEastAsia" w:eastAsiaTheme="minorEastAsia" w:cstheme="minorEastAsia"/>
        </w:rPr>
        <w:t>℃时，停止触发</w:t>
      </w:r>
      <w:r>
        <w:rPr>
          <w:rFonts w:ascii="Times New Roman" w:eastAsiaTheme="minorEastAsia"/>
        </w:rPr>
        <w:t>。</w:t>
      </w:r>
    </w:p>
    <w:p>
      <w:pPr>
        <w:pStyle w:val="103"/>
        <w:numPr>
          <w:ilvl w:val="0"/>
          <w:numId w:val="0"/>
        </w:numPr>
        <w:wordWrap/>
        <w:spacing w:before="156" w:after="156"/>
        <w:jc w:val="center"/>
        <w:rPr>
          <w:rFonts w:hAnsi="黑体"/>
          <w:szCs w:val="21"/>
        </w:rPr>
      </w:pPr>
      <w:bookmarkStart w:id="1410" w:name="_Toc512454317"/>
      <w:bookmarkStart w:id="1411" w:name="_Toc513232593"/>
      <w:bookmarkStart w:id="1412" w:name="_Toc513234404"/>
      <w:bookmarkStart w:id="1413" w:name="_Toc511831761"/>
      <w:bookmarkStart w:id="1414" w:name="_Toc512347166"/>
      <w:r>
        <w:rPr>
          <w:rFonts w:hint="eastAsia" w:hAnsi="黑体"/>
          <w:szCs w:val="21"/>
        </w:rPr>
        <w:t>表</w:t>
      </w:r>
      <w:r>
        <w:rPr>
          <w:rFonts w:hAnsi="黑体"/>
          <w:szCs w:val="21"/>
        </w:rPr>
        <w:t>C.2  加热功率选择</w:t>
      </w:r>
      <w:bookmarkEnd w:id="1410"/>
      <w:bookmarkEnd w:id="1411"/>
      <w:bookmarkEnd w:id="1412"/>
      <w:bookmarkEnd w:id="1413"/>
      <w:bookmarkEnd w:id="1414"/>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0"/>
        <w:gridCol w:w="4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60" w:type="pct"/>
            <w:vAlign w:val="center"/>
          </w:tcPr>
          <w:p>
            <w:pPr>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触发对象电能</w:t>
            </w:r>
            <w:r>
              <w:rPr>
                <w:rFonts w:asciiTheme="majorEastAsia" w:hAnsiTheme="majorEastAsia" w:eastAsiaTheme="majorEastAsia"/>
                <w:sz w:val="18"/>
                <w:szCs w:val="18"/>
              </w:rPr>
              <w:t>E</w:t>
            </w:r>
          </w:p>
          <w:p>
            <w:pPr>
              <w:jc w:val="center"/>
              <w:rPr>
                <w:rFonts w:asciiTheme="majorEastAsia" w:hAnsiTheme="majorEastAsia" w:eastAsiaTheme="majorEastAsia"/>
                <w:sz w:val="18"/>
                <w:szCs w:val="18"/>
              </w:rPr>
            </w:pPr>
            <w:r>
              <w:rPr>
                <w:rFonts w:asciiTheme="majorEastAsia" w:hAnsiTheme="majorEastAsia" w:eastAsiaTheme="majorEastAsia"/>
                <w:sz w:val="18"/>
                <w:szCs w:val="18"/>
              </w:rPr>
              <w:t>Wh</w:t>
            </w:r>
          </w:p>
        </w:tc>
        <w:tc>
          <w:tcPr>
            <w:tcW w:w="2439" w:type="pct"/>
            <w:vAlign w:val="center"/>
          </w:tcPr>
          <w:p>
            <w:pPr>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加热功率</w:t>
            </w:r>
          </w:p>
          <w:p>
            <w:pPr>
              <w:jc w:val="center"/>
              <w:rPr>
                <w:rFonts w:asciiTheme="majorEastAsia" w:hAnsiTheme="majorEastAsia" w:eastAsiaTheme="majorEastAsia"/>
                <w:sz w:val="18"/>
                <w:szCs w:val="18"/>
              </w:rPr>
            </w:pPr>
            <w:r>
              <w:rPr>
                <w:rFonts w:asciiTheme="majorEastAsia" w:hAnsiTheme="majorEastAsia" w:eastAsiaTheme="majorEastAsia"/>
                <w:sz w:val="18"/>
                <w:szCs w:val="18"/>
              </w:rPr>
              <w:t>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560" w:type="pct"/>
            <w:vAlign w:val="center"/>
          </w:tcPr>
          <w:p>
            <w:pPr>
              <w:jc w:val="center"/>
              <w:rPr>
                <w:rFonts w:asciiTheme="majorEastAsia" w:hAnsiTheme="majorEastAsia" w:eastAsiaTheme="majorEastAsia"/>
                <w:sz w:val="18"/>
                <w:szCs w:val="18"/>
              </w:rPr>
            </w:pPr>
            <w:r>
              <w:rPr>
                <w:rFonts w:asciiTheme="majorEastAsia" w:hAnsiTheme="majorEastAsia" w:eastAsiaTheme="majorEastAsia"/>
                <w:i/>
                <w:iCs/>
                <w:sz w:val="18"/>
                <w:szCs w:val="18"/>
              </w:rPr>
              <w:t>E</w:t>
            </w:r>
            <w:r>
              <w:rPr>
                <w:rFonts w:hint="eastAsia" w:asciiTheme="majorEastAsia" w:hAnsiTheme="majorEastAsia" w:eastAsiaTheme="majorEastAsia"/>
                <w:sz w:val="18"/>
                <w:szCs w:val="18"/>
              </w:rPr>
              <w:t>＜</w:t>
            </w:r>
            <w:r>
              <w:rPr>
                <w:rFonts w:asciiTheme="majorEastAsia" w:hAnsiTheme="majorEastAsia" w:eastAsiaTheme="majorEastAsia"/>
                <w:sz w:val="18"/>
                <w:szCs w:val="18"/>
              </w:rPr>
              <w:t>100</w:t>
            </w:r>
          </w:p>
        </w:tc>
        <w:tc>
          <w:tcPr>
            <w:tcW w:w="2439" w:type="pct"/>
            <w:vAlign w:val="center"/>
          </w:tcPr>
          <w:p>
            <w:pPr>
              <w:jc w:val="center"/>
              <w:rPr>
                <w:rFonts w:asciiTheme="majorEastAsia" w:hAnsiTheme="majorEastAsia" w:eastAsiaTheme="majorEastAsia"/>
                <w:sz w:val="18"/>
                <w:szCs w:val="18"/>
              </w:rPr>
            </w:pPr>
            <w:r>
              <w:rPr>
                <w:rFonts w:asciiTheme="majorEastAsia" w:hAnsiTheme="majorEastAsia" w:eastAsiaTheme="majorEastAsia"/>
                <w:sz w:val="18"/>
                <w:szCs w:val="18"/>
              </w:rPr>
              <w:t>30</w:t>
            </w:r>
            <w:r>
              <w:rPr>
                <w:rFonts w:hint="eastAsia" w:asciiTheme="majorEastAsia" w:hAnsiTheme="majorEastAsia" w:eastAsiaTheme="majorEastAsia"/>
                <w:sz w:val="18"/>
                <w:szCs w:val="18"/>
              </w:rPr>
              <w:t>～</w:t>
            </w:r>
            <w:r>
              <w:rPr>
                <w:rFonts w:asciiTheme="majorEastAsia" w:hAnsiTheme="majorEastAsia" w:eastAsiaTheme="majorEastAsia"/>
                <w:sz w:val="18"/>
                <w:szCs w:val="18"/>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2560" w:type="pct"/>
            <w:vAlign w:val="center"/>
          </w:tcPr>
          <w:p>
            <w:pPr>
              <w:jc w:val="center"/>
              <w:rPr>
                <w:rFonts w:asciiTheme="majorEastAsia" w:hAnsiTheme="majorEastAsia" w:eastAsiaTheme="majorEastAsia"/>
                <w:sz w:val="18"/>
                <w:szCs w:val="18"/>
              </w:rPr>
            </w:pPr>
            <w:r>
              <w:rPr>
                <w:rFonts w:asciiTheme="majorEastAsia" w:hAnsiTheme="majorEastAsia" w:eastAsiaTheme="majorEastAsia"/>
                <w:sz w:val="18"/>
                <w:szCs w:val="18"/>
              </w:rPr>
              <w:t>100</w:t>
            </w:r>
            <w:r>
              <w:rPr>
                <w:rFonts w:hint="eastAsia" w:asciiTheme="majorEastAsia" w:hAnsiTheme="majorEastAsia" w:eastAsiaTheme="majorEastAsia"/>
                <w:sz w:val="18"/>
                <w:szCs w:val="18"/>
              </w:rPr>
              <w:t>≤</w:t>
            </w:r>
            <w:r>
              <w:rPr>
                <w:rFonts w:asciiTheme="majorEastAsia" w:hAnsiTheme="majorEastAsia" w:eastAsiaTheme="majorEastAsia"/>
                <w:i/>
                <w:iCs/>
                <w:sz w:val="18"/>
                <w:szCs w:val="18"/>
              </w:rPr>
              <w:t>E</w:t>
            </w:r>
            <w:r>
              <w:rPr>
                <w:rFonts w:hint="eastAsia" w:asciiTheme="majorEastAsia" w:hAnsiTheme="majorEastAsia" w:eastAsiaTheme="majorEastAsia"/>
                <w:sz w:val="18"/>
                <w:szCs w:val="18"/>
              </w:rPr>
              <w:t>＜</w:t>
            </w:r>
            <w:r>
              <w:rPr>
                <w:rFonts w:asciiTheme="majorEastAsia" w:hAnsiTheme="majorEastAsia" w:eastAsiaTheme="majorEastAsia"/>
                <w:sz w:val="18"/>
                <w:szCs w:val="18"/>
              </w:rPr>
              <w:t>400</w:t>
            </w:r>
          </w:p>
        </w:tc>
        <w:tc>
          <w:tcPr>
            <w:tcW w:w="2439" w:type="pct"/>
            <w:vAlign w:val="center"/>
          </w:tcPr>
          <w:p>
            <w:pPr>
              <w:jc w:val="center"/>
              <w:rPr>
                <w:rFonts w:asciiTheme="majorEastAsia" w:hAnsiTheme="majorEastAsia" w:eastAsiaTheme="majorEastAsia"/>
                <w:sz w:val="18"/>
                <w:szCs w:val="18"/>
              </w:rPr>
            </w:pPr>
            <w:r>
              <w:rPr>
                <w:rFonts w:asciiTheme="majorEastAsia" w:hAnsiTheme="majorEastAsia" w:eastAsiaTheme="majorEastAsia"/>
                <w:sz w:val="18"/>
                <w:szCs w:val="18"/>
              </w:rPr>
              <w:t>300</w:t>
            </w:r>
            <w:r>
              <w:rPr>
                <w:rFonts w:hint="eastAsia" w:asciiTheme="majorEastAsia" w:hAnsiTheme="majorEastAsia" w:eastAsiaTheme="majorEastAsia"/>
                <w:sz w:val="18"/>
                <w:szCs w:val="18"/>
              </w:rPr>
              <w:t>～</w:t>
            </w:r>
            <w:r>
              <w:rPr>
                <w:rFonts w:asciiTheme="majorEastAsia" w:hAnsiTheme="majorEastAsia" w:eastAsiaTheme="majorEastAsia"/>
                <w:sz w:val="18"/>
                <w:szCs w:val="18"/>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2560" w:type="pct"/>
            <w:vAlign w:val="center"/>
          </w:tcPr>
          <w:p>
            <w:pPr>
              <w:jc w:val="center"/>
              <w:rPr>
                <w:rFonts w:asciiTheme="majorEastAsia" w:hAnsiTheme="majorEastAsia" w:eastAsiaTheme="majorEastAsia"/>
                <w:sz w:val="18"/>
                <w:szCs w:val="18"/>
              </w:rPr>
            </w:pPr>
            <w:r>
              <w:rPr>
                <w:rFonts w:asciiTheme="majorEastAsia" w:hAnsiTheme="majorEastAsia" w:eastAsiaTheme="majorEastAsia"/>
                <w:sz w:val="18"/>
                <w:szCs w:val="18"/>
              </w:rPr>
              <w:t>400</w:t>
            </w:r>
            <w:r>
              <w:rPr>
                <w:rFonts w:hint="eastAsia" w:asciiTheme="majorEastAsia" w:hAnsiTheme="majorEastAsia" w:eastAsiaTheme="majorEastAsia"/>
                <w:sz w:val="18"/>
                <w:szCs w:val="18"/>
              </w:rPr>
              <w:t>≤</w:t>
            </w:r>
            <w:r>
              <w:rPr>
                <w:rFonts w:asciiTheme="majorEastAsia" w:hAnsiTheme="majorEastAsia" w:eastAsiaTheme="majorEastAsia"/>
                <w:i/>
                <w:iCs/>
                <w:sz w:val="18"/>
                <w:szCs w:val="18"/>
              </w:rPr>
              <w:t>E</w:t>
            </w:r>
            <w:r>
              <w:rPr>
                <w:rFonts w:hint="eastAsia" w:asciiTheme="majorEastAsia" w:hAnsiTheme="majorEastAsia" w:eastAsiaTheme="majorEastAsia"/>
                <w:sz w:val="18"/>
                <w:szCs w:val="18"/>
              </w:rPr>
              <w:t>＜</w:t>
            </w:r>
            <w:r>
              <w:rPr>
                <w:rFonts w:asciiTheme="majorEastAsia" w:hAnsiTheme="majorEastAsia" w:eastAsiaTheme="majorEastAsia"/>
                <w:sz w:val="18"/>
                <w:szCs w:val="18"/>
              </w:rPr>
              <w:t>800</w:t>
            </w:r>
            <w:bookmarkStart w:id="1417" w:name="_GoBack"/>
            <w:bookmarkEnd w:id="1417"/>
          </w:p>
        </w:tc>
        <w:tc>
          <w:tcPr>
            <w:tcW w:w="2439" w:type="pct"/>
            <w:vAlign w:val="center"/>
          </w:tcPr>
          <w:p>
            <w:pPr>
              <w:jc w:val="center"/>
              <w:rPr>
                <w:rFonts w:asciiTheme="majorEastAsia" w:hAnsiTheme="majorEastAsia" w:eastAsiaTheme="majorEastAsia"/>
                <w:sz w:val="18"/>
                <w:szCs w:val="18"/>
              </w:rPr>
            </w:pPr>
            <w:r>
              <w:rPr>
                <w:rFonts w:asciiTheme="majorEastAsia" w:hAnsiTheme="majorEastAsia" w:eastAsiaTheme="majorEastAsia"/>
                <w:sz w:val="18"/>
                <w:szCs w:val="18"/>
              </w:rPr>
              <w:t>300</w:t>
            </w:r>
            <w:r>
              <w:rPr>
                <w:rFonts w:hint="eastAsia" w:asciiTheme="majorEastAsia" w:hAnsiTheme="majorEastAsia" w:eastAsiaTheme="majorEastAsia"/>
                <w:sz w:val="18"/>
                <w:szCs w:val="18"/>
              </w:rPr>
              <w:t>～</w:t>
            </w:r>
            <w:r>
              <w:rPr>
                <w:rFonts w:asciiTheme="majorEastAsia" w:hAnsiTheme="majorEastAsia" w:eastAsiaTheme="majorEastAsia"/>
                <w:sz w:val="18"/>
                <w:szCs w:val="18"/>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560" w:type="pct"/>
            <w:vAlign w:val="center"/>
          </w:tcPr>
          <w:p>
            <w:pPr>
              <w:jc w:val="center"/>
              <w:rPr>
                <w:rFonts w:asciiTheme="majorEastAsia" w:hAnsiTheme="majorEastAsia" w:eastAsiaTheme="majorEastAsia"/>
                <w:sz w:val="18"/>
                <w:szCs w:val="18"/>
              </w:rPr>
            </w:pPr>
            <w:r>
              <w:rPr>
                <w:rFonts w:asciiTheme="majorEastAsia" w:hAnsiTheme="majorEastAsia" w:eastAsiaTheme="majorEastAsia"/>
                <w:i/>
                <w:iCs/>
                <w:sz w:val="18"/>
                <w:szCs w:val="18"/>
              </w:rPr>
              <w:t>E</w:t>
            </w:r>
            <w:r>
              <w:rPr>
                <w:rFonts w:hint="eastAsia" w:asciiTheme="majorEastAsia" w:hAnsiTheme="majorEastAsia" w:eastAsiaTheme="majorEastAsia"/>
                <w:sz w:val="18"/>
                <w:szCs w:val="18"/>
              </w:rPr>
              <w:t>≥</w:t>
            </w:r>
            <w:r>
              <w:rPr>
                <w:rFonts w:asciiTheme="majorEastAsia" w:hAnsiTheme="majorEastAsia" w:eastAsiaTheme="majorEastAsia"/>
                <w:sz w:val="18"/>
                <w:szCs w:val="18"/>
              </w:rPr>
              <w:t>800</w:t>
            </w:r>
          </w:p>
        </w:tc>
        <w:tc>
          <w:tcPr>
            <w:tcW w:w="2439" w:type="pct"/>
            <w:vAlign w:val="center"/>
          </w:tcPr>
          <w:p>
            <w:pPr>
              <w:jc w:val="center"/>
              <w:rPr>
                <w:rFonts w:asciiTheme="majorEastAsia" w:hAnsiTheme="majorEastAsia" w:eastAsiaTheme="majorEastAsia"/>
                <w:sz w:val="18"/>
                <w:szCs w:val="18"/>
              </w:rPr>
            </w:pPr>
            <w:r>
              <w:rPr>
                <w:rFonts w:hint="eastAsia" w:asciiTheme="majorEastAsia" w:hAnsiTheme="majorEastAsia" w:eastAsiaTheme="majorEastAsia"/>
                <w:sz w:val="18"/>
                <w:szCs w:val="18"/>
              </w:rPr>
              <w:t>＞</w:t>
            </w:r>
            <w:r>
              <w:rPr>
                <w:rFonts w:asciiTheme="majorEastAsia" w:hAnsiTheme="majorEastAsia" w:eastAsiaTheme="majorEastAsia"/>
                <w:sz w:val="18"/>
                <w:szCs w:val="18"/>
              </w:rPr>
              <w:t>600</w:t>
            </w:r>
          </w:p>
        </w:tc>
      </w:tr>
    </w:tbl>
    <w:p>
      <w:pPr>
        <w:pStyle w:val="88"/>
        <w:spacing w:before="156" w:after="156"/>
        <w:rPr>
          <w:rFonts w:ascii="Times New Roman" w:eastAsiaTheme="minorEastAsia"/>
        </w:rPr>
      </w:pPr>
      <w:r>
        <w:rPr>
          <w:rFonts w:hint="eastAsia" w:ascii="Times New Roman" w:eastAsiaTheme="minorEastAsia"/>
        </w:rPr>
        <w:t>内部加热触发</w:t>
      </w:r>
      <w:r>
        <w:rPr>
          <w:rFonts w:ascii="Times New Roman" w:eastAsiaTheme="minorEastAsia"/>
        </w:rPr>
        <w:t>热失控方法</w:t>
      </w:r>
    </w:p>
    <w:p>
      <w:pPr>
        <w:pStyle w:val="88"/>
        <w:numPr>
          <w:ilvl w:val="4"/>
          <w:numId w:val="6"/>
        </w:numPr>
        <w:spacing w:before="156" w:after="156"/>
        <w:rPr>
          <w:rFonts w:ascii="Times New Roman" w:eastAsia="宋体"/>
        </w:rPr>
      </w:pPr>
      <w:r>
        <w:rPr>
          <w:rFonts w:hint="eastAsia" w:ascii="Times New Roman" w:eastAsia="宋体"/>
        </w:rPr>
        <w:t>加热片参数</w:t>
      </w:r>
    </w:p>
    <w:p>
      <w:pPr>
        <w:pStyle w:val="23"/>
        <w:spacing w:before="156" w:beforeLines="50" w:after="156" w:afterLines="50"/>
        <w:rPr>
          <w:rFonts w:ascii="Times New Roman"/>
        </w:rPr>
      </w:pPr>
      <w:r>
        <w:rPr>
          <w:rFonts w:hint="eastAsia" w:ascii="Times New Roman"/>
        </w:rPr>
        <w:t>表C</w:t>
      </w:r>
      <w:r>
        <w:rPr>
          <w:rFonts w:ascii="Times New Roman"/>
        </w:rPr>
        <w:t>.3</w:t>
      </w:r>
      <w:r>
        <w:rPr>
          <w:rFonts w:hint="eastAsia" w:ascii="Times New Roman"/>
        </w:rPr>
        <w:t xml:space="preserve">为推荐的加热片规格说明及使用指南。 </w:t>
      </w:r>
    </w:p>
    <w:p>
      <w:pPr>
        <w:pStyle w:val="103"/>
        <w:numPr>
          <w:ilvl w:val="0"/>
          <w:numId w:val="0"/>
        </w:numPr>
        <w:wordWrap/>
        <w:spacing w:before="156" w:after="156"/>
        <w:jc w:val="center"/>
        <w:rPr>
          <w:rFonts w:ascii="Times New Roman"/>
        </w:rPr>
      </w:pPr>
      <w:r>
        <w:rPr>
          <w:rFonts w:hint="eastAsia" w:hAnsi="黑体"/>
          <w:szCs w:val="21"/>
        </w:rPr>
        <w:t>表</w:t>
      </w:r>
      <w:r>
        <w:rPr>
          <w:rFonts w:hAnsi="黑体"/>
          <w:szCs w:val="21"/>
        </w:rPr>
        <w:t xml:space="preserve">C.3  </w:t>
      </w:r>
      <w:r>
        <w:rPr>
          <w:rFonts w:hint="eastAsia" w:ascii="Times New Roman"/>
        </w:rPr>
        <w:t>加热片规格说明及使用指南</w:t>
      </w:r>
    </w:p>
    <w:tbl>
      <w:tblPr>
        <w:tblStyle w:val="33"/>
        <w:tblW w:w="4999" w:type="pct"/>
        <w:jc w:val="center"/>
        <w:tblLayout w:type="autofit"/>
        <w:tblCellMar>
          <w:top w:w="0" w:type="dxa"/>
          <w:left w:w="108" w:type="dxa"/>
          <w:bottom w:w="0" w:type="dxa"/>
          <w:right w:w="108" w:type="dxa"/>
        </w:tblCellMar>
      </w:tblPr>
      <w:tblGrid>
        <w:gridCol w:w="1333"/>
        <w:gridCol w:w="2259"/>
        <w:gridCol w:w="5976"/>
      </w:tblGrid>
      <w:tr>
        <w:tblPrEx>
          <w:tblCellMar>
            <w:top w:w="0" w:type="dxa"/>
            <w:left w:w="108" w:type="dxa"/>
            <w:bottom w:w="0" w:type="dxa"/>
            <w:right w:w="108" w:type="dxa"/>
          </w:tblCellMar>
        </w:tblPrEx>
        <w:trPr>
          <w:trHeight w:val="387" w:hRule="atLeast"/>
          <w:jc w:val="center"/>
        </w:trPr>
        <w:tc>
          <w:tcPr>
            <w:tcW w:w="1877" w:type="pct"/>
            <w:gridSpan w:val="2"/>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sz w:val="18"/>
                <w:szCs w:val="18"/>
              </w:rPr>
              <w:t>内部加热方法</w:t>
            </w:r>
          </w:p>
        </w:tc>
        <w:tc>
          <w:tcPr>
            <w:tcW w:w="3122"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参数/说明</w:t>
            </w:r>
          </w:p>
        </w:tc>
      </w:tr>
      <w:tr>
        <w:tblPrEx>
          <w:tblCellMar>
            <w:top w:w="0" w:type="dxa"/>
            <w:left w:w="108" w:type="dxa"/>
            <w:bottom w:w="0" w:type="dxa"/>
            <w:right w:w="108" w:type="dxa"/>
          </w:tblCellMar>
        </w:tblPrEx>
        <w:trPr>
          <w:trHeight w:val="387" w:hRule="atLeast"/>
          <w:jc w:val="center"/>
        </w:trPr>
        <w:tc>
          <w:tcPr>
            <w:tcW w:w="697" w:type="pct"/>
            <w:vMerge w:val="restart"/>
            <w:tcBorders>
              <w:top w:val="nil"/>
              <w:left w:val="single" w:color="auto" w:sz="4" w:space="0"/>
              <w:right w:val="single" w:color="auto" w:sz="4" w:space="0"/>
            </w:tcBorders>
            <w:shd w:val="clear" w:color="auto" w:fill="auto"/>
            <w:vAlign w:val="center"/>
          </w:tcPr>
          <w:p>
            <w:pPr>
              <w:jc w:val="center"/>
              <w:rPr>
                <w:sz w:val="18"/>
                <w:szCs w:val="18"/>
              </w:rPr>
            </w:pPr>
            <w:r>
              <w:rPr>
                <w:rFonts w:hint="eastAsia"/>
                <w:sz w:val="18"/>
                <w:szCs w:val="18"/>
              </w:rPr>
              <w:t>加热片规格</w:t>
            </w: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材质</w:t>
            </w:r>
          </w:p>
        </w:tc>
        <w:tc>
          <w:tcPr>
            <w:tcW w:w="3122"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Cu+绝缘层，或其他合适的电阻加热元件</w:t>
            </w:r>
          </w:p>
        </w:tc>
      </w:tr>
      <w:tr>
        <w:tblPrEx>
          <w:tblCellMar>
            <w:top w:w="0" w:type="dxa"/>
            <w:left w:w="108" w:type="dxa"/>
            <w:bottom w:w="0" w:type="dxa"/>
            <w:right w:w="108" w:type="dxa"/>
          </w:tblCellMar>
        </w:tblPrEx>
        <w:trPr>
          <w:trHeight w:val="387" w:hRule="atLeast"/>
          <w:jc w:val="center"/>
        </w:trPr>
        <w:tc>
          <w:tcPr>
            <w:tcW w:w="697" w:type="pct"/>
            <w:vMerge w:val="continue"/>
            <w:tcBorders>
              <w:left w:val="single" w:color="auto" w:sz="4" w:space="0"/>
              <w:right w:val="single" w:color="auto" w:sz="4" w:space="0"/>
            </w:tcBorders>
            <w:shd w:val="clear" w:color="auto" w:fill="auto"/>
          </w:tcPr>
          <w:p>
            <w:pPr>
              <w:jc w:val="center"/>
              <w:rPr>
                <w:sz w:val="18"/>
                <w:szCs w:val="18"/>
              </w:rPr>
            </w:pP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面积</w:t>
            </w:r>
          </w:p>
        </w:tc>
        <w:tc>
          <w:tcPr>
            <w:tcW w:w="3122"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50</w:t>
            </w:r>
            <w:r>
              <w:rPr>
                <w:sz w:val="18"/>
                <w:szCs w:val="18"/>
              </w:rPr>
              <w:t xml:space="preserve"> </w:t>
            </w:r>
            <w:r>
              <w:rPr>
                <w:rFonts w:hint="eastAsia"/>
                <w:sz w:val="18"/>
                <w:szCs w:val="18"/>
              </w:rPr>
              <w:t>mm*50</w:t>
            </w:r>
            <w:r>
              <w:rPr>
                <w:sz w:val="18"/>
                <w:szCs w:val="18"/>
              </w:rPr>
              <w:t xml:space="preserve"> </w:t>
            </w:r>
            <w:r>
              <w:rPr>
                <w:rFonts w:hint="eastAsia"/>
                <w:sz w:val="18"/>
                <w:szCs w:val="18"/>
              </w:rPr>
              <w:t>mm~15</w:t>
            </w:r>
            <w:r>
              <w:rPr>
                <w:sz w:val="18"/>
                <w:szCs w:val="18"/>
              </w:rPr>
              <w:t xml:space="preserve"> </w:t>
            </w:r>
            <w:r>
              <w:rPr>
                <w:rFonts w:hint="eastAsia"/>
                <w:sz w:val="18"/>
                <w:szCs w:val="18"/>
              </w:rPr>
              <w:t>mm*15</w:t>
            </w:r>
            <w:r>
              <w:rPr>
                <w:sz w:val="18"/>
                <w:szCs w:val="18"/>
              </w:rPr>
              <w:t xml:space="preserve"> </w:t>
            </w:r>
            <w:r>
              <w:rPr>
                <w:rFonts w:hint="eastAsia"/>
                <w:sz w:val="18"/>
                <w:szCs w:val="18"/>
              </w:rPr>
              <w:t>mm</w:t>
            </w:r>
          </w:p>
        </w:tc>
      </w:tr>
      <w:tr>
        <w:tblPrEx>
          <w:tblCellMar>
            <w:top w:w="0" w:type="dxa"/>
            <w:left w:w="108" w:type="dxa"/>
            <w:bottom w:w="0" w:type="dxa"/>
            <w:right w:w="108" w:type="dxa"/>
          </w:tblCellMar>
        </w:tblPrEx>
        <w:trPr>
          <w:trHeight w:val="387" w:hRule="atLeast"/>
          <w:jc w:val="center"/>
        </w:trPr>
        <w:tc>
          <w:tcPr>
            <w:tcW w:w="697" w:type="pct"/>
            <w:vMerge w:val="continue"/>
            <w:tcBorders>
              <w:left w:val="single" w:color="auto" w:sz="4" w:space="0"/>
              <w:right w:val="single" w:color="auto" w:sz="4" w:space="0"/>
            </w:tcBorders>
            <w:shd w:val="clear" w:color="auto" w:fill="auto"/>
          </w:tcPr>
          <w:p>
            <w:pPr>
              <w:jc w:val="center"/>
              <w:rPr>
                <w:sz w:val="18"/>
                <w:szCs w:val="18"/>
              </w:rPr>
            </w:pP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厚度</w:t>
            </w:r>
          </w:p>
        </w:tc>
        <w:tc>
          <w:tcPr>
            <w:tcW w:w="3122"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≤0.5</w:t>
            </w:r>
            <w:r>
              <w:rPr>
                <w:sz w:val="18"/>
                <w:szCs w:val="18"/>
              </w:rPr>
              <w:t xml:space="preserve"> </w:t>
            </w:r>
            <w:r>
              <w:rPr>
                <w:rFonts w:hint="eastAsia"/>
                <w:sz w:val="18"/>
                <w:szCs w:val="18"/>
              </w:rPr>
              <w:t>mm</w:t>
            </w:r>
          </w:p>
        </w:tc>
      </w:tr>
      <w:tr>
        <w:tblPrEx>
          <w:tblCellMar>
            <w:top w:w="0" w:type="dxa"/>
            <w:left w:w="108" w:type="dxa"/>
            <w:bottom w:w="0" w:type="dxa"/>
            <w:right w:w="108" w:type="dxa"/>
          </w:tblCellMar>
        </w:tblPrEx>
        <w:trPr>
          <w:trHeight w:val="387" w:hRule="atLeast"/>
          <w:jc w:val="center"/>
        </w:trPr>
        <w:tc>
          <w:tcPr>
            <w:tcW w:w="697" w:type="pct"/>
            <w:vMerge w:val="continue"/>
            <w:tcBorders>
              <w:left w:val="single" w:color="auto" w:sz="4" w:space="0"/>
              <w:bottom w:val="single" w:color="auto" w:sz="4" w:space="0"/>
              <w:right w:val="single" w:color="auto" w:sz="4" w:space="0"/>
            </w:tcBorders>
            <w:shd w:val="clear" w:color="auto" w:fill="auto"/>
          </w:tcPr>
          <w:p>
            <w:pPr>
              <w:jc w:val="center"/>
              <w:rPr>
                <w:sz w:val="18"/>
                <w:szCs w:val="18"/>
              </w:rPr>
            </w:pP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功率</w:t>
            </w:r>
          </w:p>
        </w:tc>
        <w:tc>
          <w:tcPr>
            <w:tcW w:w="3122" w:type="pc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sz w:val="18"/>
                <w:szCs w:val="18"/>
              </w:rPr>
              <w:t>150 W~700 W</w:t>
            </w:r>
          </w:p>
        </w:tc>
      </w:tr>
      <w:tr>
        <w:tblPrEx>
          <w:tblCellMar>
            <w:top w:w="0" w:type="dxa"/>
            <w:left w:w="108" w:type="dxa"/>
            <w:bottom w:w="0" w:type="dxa"/>
            <w:right w:w="108" w:type="dxa"/>
          </w:tblCellMar>
        </w:tblPrEx>
        <w:trPr>
          <w:trHeight w:val="387" w:hRule="atLeast"/>
          <w:jc w:val="center"/>
        </w:trPr>
        <w:tc>
          <w:tcPr>
            <w:tcW w:w="697" w:type="pct"/>
            <w:vMerge w:val="restart"/>
            <w:tcBorders>
              <w:top w:val="nil"/>
              <w:left w:val="single" w:color="auto" w:sz="4" w:space="0"/>
              <w:right w:val="single" w:color="auto" w:sz="4" w:space="0"/>
            </w:tcBorders>
            <w:shd w:val="clear" w:color="auto" w:fill="auto"/>
            <w:vAlign w:val="center"/>
          </w:tcPr>
          <w:p>
            <w:pPr>
              <w:jc w:val="center"/>
              <w:rPr>
                <w:sz w:val="18"/>
                <w:szCs w:val="18"/>
              </w:rPr>
            </w:pPr>
            <w:r>
              <w:rPr>
                <w:rFonts w:hint="eastAsia"/>
                <w:sz w:val="18"/>
                <w:szCs w:val="18"/>
              </w:rPr>
              <w:t>使用方法</w:t>
            </w: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布置位置</w:t>
            </w:r>
          </w:p>
        </w:tc>
        <w:tc>
          <w:tcPr>
            <w:tcW w:w="3122" w:type="pct"/>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卷芯表面</w:t>
            </w:r>
          </w:p>
        </w:tc>
      </w:tr>
      <w:tr>
        <w:tblPrEx>
          <w:tblCellMar>
            <w:top w:w="0" w:type="dxa"/>
            <w:left w:w="108" w:type="dxa"/>
            <w:bottom w:w="0" w:type="dxa"/>
            <w:right w:w="108" w:type="dxa"/>
          </w:tblCellMar>
        </w:tblPrEx>
        <w:trPr>
          <w:trHeight w:val="387" w:hRule="atLeast"/>
          <w:jc w:val="center"/>
        </w:trPr>
        <w:tc>
          <w:tcPr>
            <w:tcW w:w="697" w:type="pct"/>
            <w:vMerge w:val="continue"/>
            <w:tcBorders>
              <w:left w:val="single" w:color="auto" w:sz="4" w:space="0"/>
              <w:right w:val="single" w:color="auto" w:sz="4" w:space="0"/>
            </w:tcBorders>
            <w:shd w:val="clear" w:color="auto" w:fill="auto"/>
          </w:tcPr>
          <w:p>
            <w:pPr>
              <w:jc w:val="center"/>
              <w:rPr>
                <w:sz w:val="18"/>
                <w:szCs w:val="18"/>
              </w:rPr>
            </w:pP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引线孔/引线端部密封</w:t>
            </w:r>
          </w:p>
        </w:tc>
        <w:tc>
          <w:tcPr>
            <w:tcW w:w="3122" w:type="pct"/>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树脂胶，如环氧树脂，或者合适的结构密封方式</w:t>
            </w:r>
            <w:r>
              <w:rPr>
                <w:sz w:val="18"/>
                <w:szCs w:val="18"/>
              </w:rPr>
              <w:t xml:space="preserve"> </w:t>
            </w:r>
          </w:p>
        </w:tc>
      </w:tr>
      <w:tr>
        <w:tblPrEx>
          <w:tblCellMar>
            <w:top w:w="0" w:type="dxa"/>
            <w:left w:w="108" w:type="dxa"/>
            <w:bottom w:w="0" w:type="dxa"/>
            <w:right w:w="108" w:type="dxa"/>
          </w:tblCellMar>
        </w:tblPrEx>
        <w:trPr>
          <w:trHeight w:val="387" w:hRule="atLeast"/>
          <w:jc w:val="center"/>
        </w:trPr>
        <w:tc>
          <w:tcPr>
            <w:tcW w:w="697" w:type="pct"/>
            <w:vMerge w:val="continue"/>
            <w:tcBorders>
              <w:left w:val="single" w:color="auto" w:sz="4" w:space="0"/>
              <w:bottom w:val="single" w:color="auto" w:sz="4" w:space="0"/>
              <w:right w:val="single" w:color="auto" w:sz="4" w:space="0"/>
            </w:tcBorders>
            <w:shd w:val="clear" w:color="auto" w:fill="auto"/>
          </w:tcPr>
          <w:p>
            <w:pPr>
              <w:jc w:val="center"/>
              <w:rPr>
                <w:sz w:val="18"/>
                <w:szCs w:val="18"/>
              </w:rPr>
            </w:pPr>
          </w:p>
        </w:tc>
        <w:tc>
          <w:tcPr>
            <w:tcW w:w="1179" w:type="pc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停止加热条件</w:t>
            </w:r>
          </w:p>
        </w:tc>
        <w:tc>
          <w:tcPr>
            <w:tcW w:w="3122" w:type="pct"/>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发生热失控</w:t>
            </w:r>
          </w:p>
        </w:tc>
      </w:tr>
    </w:tbl>
    <w:p>
      <w:pPr>
        <w:pStyle w:val="23"/>
        <w:ind w:firstLine="0" w:firstLineChars="0"/>
      </w:pPr>
    </w:p>
    <w:p>
      <w:pPr>
        <w:pStyle w:val="144"/>
        <w:numPr>
          <w:ilvl w:val="4"/>
          <w:numId w:val="6"/>
        </w:numPr>
        <w:spacing w:before="78" w:after="78"/>
        <w:rPr>
          <w:rFonts w:ascii="Times New Roman" w:hAnsi="Times New Roman" w:cs="Times New Roman"/>
          <w:kern w:val="21"/>
          <w:szCs w:val="20"/>
        </w:rPr>
      </w:pPr>
      <w:r>
        <w:rPr>
          <w:rFonts w:hint="eastAsia" w:ascii="Times New Roman" w:hAnsi="Times New Roman" w:cs="Times New Roman"/>
          <w:kern w:val="21"/>
          <w:szCs w:val="20"/>
        </w:rPr>
        <w:t>内置加热片的电池单体及其电池包制备流程</w:t>
      </w:r>
    </w:p>
    <w:p>
      <w:pPr>
        <w:pStyle w:val="23"/>
        <w:spacing w:before="156" w:beforeLines="50" w:after="156" w:afterLines="50"/>
        <w:rPr>
          <w:rFonts w:ascii="Times New Roman"/>
        </w:rPr>
      </w:pPr>
      <w:r>
        <w:rPr>
          <w:rFonts w:hint="eastAsia" w:ascii="Times New Roman"/>
        </w:rPr>
        <w:t>内置加热片的电池单体及其电池包制备流程如下：</w:t>
      </w:r>
    </w:p>
    <w:p>
      <w:pPr>
        <w:pStyle w:val="102"/>
        <w:numPr>
          <w:ilvl w:val="0"/>
          <w:numId w:val="38"/>
        </w:numPr>
        <w:spacing w:beforeLines="0" w:afterLines="0"/>
        <w:ind w:left="777" w:hanging="357"/>
        <w:rPr>
          <w:rFonts w:ascii="Times New Roman" w:eastAsia="宋体"/>
          <w:szCs w:val="21"/>
        </w:rPr>
      </w:pPr>
      <w:r>
        <w:rPr>
          <w:rFonts w:hint="eastAsia" w:ascii="Times New Roman" w:eastAsia="宋体"/>
          <w:szCs w:val="21"/>
        </w:rPr>
        <w:t>在制备内置加热片的电池单体前，应先对电池顶盖制造合适孔径的通孔，以便加热片的连接导线从电池内部引出。通孔位置应避开电池组连接巴片正对应区域，对于电池顶盖刚度较大的情况，宜在一类出线孔或二类出线孔位置制造通孔（见图C.1）；对于电池顶盖刚度较小的情况，宜在二类出线孔（如靠近拐角或靠近大面）的位置制造</w:t>
      </w:r>
      <w:r>
        <w:rPr>
          <w:rFonts w:hint="eastAsia" w:asciiTheme="minorEastAsia" w:hAnsiTheme="minorEastAsia" w:eastAsiaTheme="minorEastAsia"/>
          <w:szCs w:val="21"/>
        </w:rPr>
        <w:t>通孔</w:t>
      </w:r>
      <w:r>
        <w:rPr>
          <w:rFonts w:hint="eastAsia" w:ascii="Times New Roman" w:eastAsia="宋体"/>
          <w:szCs w:val="21"/>
        </w:rPr>
        <w:t>；</w:t>
      </w:r>
    </w:p>
    <w:p>
      <w:pPr>
        <w:pStyle w:val="102"/>
        <w:numPr>
          <w:ilvl w:val="0"/>
          <w:numId w:val="38"/>
        </w:numPr>
        <w:spacing w:beforeLines="0" w:afterLines="0"/>
        <w:ind w:left="777" w:hanging="357"/>
        <w:rPr>
          <w:rFonts w:ascii="Times New Roman" w:eastAsia="宋体"/>
          <w:szCs w:val="21"/>
        </w:rPr>
      </w:pPr>
      <w:r>
        <w:rPr>
          <w:rFonts w:hint="eastAsia" w:ascii="Times New Roman" w:eastAsia="宋体"/>
          <w:szCs w:val="21"/>
        </w:rPr>
        <w:t>在入壳封装工序前，将加热片布置在卷芯表面中心。卷芯入壳封装后，应对电池顶盖的出线孔及加热片连接导线端部进行密封处理，以防止电解液溢出（见图C.2）。</w:t>
      </w:r>
    </w:p>
    <w:p>
      <w:pPr>
        <w:pStyle w:val="102"/>
        <w:numPr>
          <w:ilvl w:val="0"/>
          <w:numId w:val="38"/>
        </w:numPr>
        <w:spacing w:beforeLines="0" w:afterLines="0"/>
        <w:ind w:left="777" w:hanging="357"/>
        <w:rPr>
          <w:rFonts w:ascii="Times New Roman" w:eastAsia="宋体"/>
          <w:szCs w:val="21"/>
        </w:rPr>
      </w:pPr>
      <w:r>
        <w:rPr>
          <w:rFonts w:hint="eastAsia" w:ascii="Times New Roman" w:eastAsia="宋体"/>
          <w:szCs w:val="21"/>
        </w:rPr>
        <w:t>按照电池正常工序生产直至电池单体制作完成。</w:t>
      </w:r>
    </w:p>
    <w:p>
      <w:pPr>
        <w:pStyle w:val="102"/>
        <w:numPr>
          <w:ilvl w:val="0"/>
          <w:numId w:val="38"/>
        </w:numPr>
        <w:spacing w:beforeLines="0" w:afterLines="0"/>
        <w:ind w:left="777" w:hanging="357"/>
        <w:rPr>
          <w:rFonts w:ascii="Times New Roman" w:eastAsia="宋体"/>
          <w:szCs w:val="21"/>
        </w:rPr>
      </w:pPr>
      <w:r>
        <w:rPr>
          <w:rFonts w:hint="eastAsia" w:ascii="Times New Roman" w:eastAsia="宋体"/>
          <w:szCs w:val="21"/>
        </w:rPr>
        <w:t>电池模块制作时，加热片的连接导线引出位置应尽可能避开电池模块结构部件。对于无法规避的情况下，应对电池模块上的结构部件进行相应的避让处理，以便引伸出加热片的连接导线。在电池包箱体上预设出线孔，将加热片导线引出后进行密封。</w:t>
      </w:r>
    </w:p>
    <w:p>
      <w:pPr>
        <w:pStyle w:val="23"/>
        <w:jc w:val="center"/>
        <w:rPr>
          <w:rFonts w:ascii="黑体" w:hAnsi="黑体" w:eastAsia="黑体"/>
          <w:lang w:val="en-GB"/>
        </w:rPr>
      </w:pPr>
      <w:r>
        <w:rPr>
          <w:rFonts w:ascii="黑体" w:hAnsi="黑体" w:eastAsia="黑体"/>
          <w:lang w:val="en-GB"/>
        </w:rPr>
        <w:t xml:space="preserve">  </w:t>
      </w:r>
      <w:r>
        <w:rPr>
          <w:rFonts w:ascii="黑体" w:hAnsi="黑体" w:eastAsia="黑体"/>
        </w:rPr>
        <w:drawing>
          <wp:inline distT="0" distB="0" distL="0" distR="0">
            <wp:extent cx="1446530" cy="728345"/>
            <wp:effectExtent l="0" t="0" r="127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495319" cy="753024"/>
                    </a:xfrm>
                    <a:prstGeom prst="rect">
                      <a:avLst/>
                    </a:prstGeom>
                    <a:noFill/>
                  </pic:spPr>
                </pic:pic>
              </a:graphicData>
            </a:graphic>
          </wp:inline>
        </w:drawing>
      </w:r>
      <w:r>
        <w:rPr>
          <w:rFonts w:hint="eastAsia" w:ascii="黑体" w:hAnsi="黑体" w:eastAsia="黑体"/>
          <w:lang w:val="en-GB"/>
        </w:rPr>
        <w:t xml:space="preserve"> </w:t>
      </w:r>
      <w:r>
        <w:rPr>
          <w:rFonts w:ascii="黑体" w:hAnsi="黑体" w:eastAsia="黑体"/>
          <w:lang w:val="en-GB"/>
        </w:rPr>
        <w:t xml:space="preserve">     </w:t>
      </w:r>
    </w:p>
    <w:p>
      <w:pPr>
        <w:pStyle w:val="23"/>
        <w:jc w:val="center"/>
        <w:rPr>
          <w:rFonts w:ascii="黑体" w:hAnsi="黑体" w:eastAsia="黑体"/>
          <w:lang w:val="en-GB"/>
        </w:rPr>
      </w:pPr>
      <w:r>
        <w:rPr>
          <w:rFonts w:hint="eastAsia" w:ascii="黑体" w:hAnsi="黑体" w:eastAsia="黑体"/>
          <w:lang w:val="en-GB"/>
        </w:rPr>
        <w:t>图C</w:t>
      </w:r>
      <w:r>
        <w:rPr>
          <w:rFonts w:ascii="黑体" w:hAnsi="黑体" w:eastAsia="黑体"/>
          <w:lang w:val="en-GB"/>
        </w:rPr>
        <w:t>.</w:t>
      </w:r>
      <w:r>
        <w:rPr>
          <w:rFonts w:hint="eastAsia" w:ascii="黑体" w:hAnsi="黑体" w:eastAsia="黑体"/>
          <w:lang w:val="en-GB"/>
        </w:rPr>
        <w:t>1 内部加热触发电池单体顶盖的出线孔位置示意图</w:t>
      </w:r>
    </w:p>
    <w:p>
      <w:pPr>
        <w:pStyle w:val="23"/>
        <w:jc w:val="center"/>
        <w:rPr>
          <w:rFonts w:ascii="黑体" w:hAnsi="黑体" w:eastAsia="黑体"/>
          <w:lang w:val="en-GB"/>
        </w:rPr>
      </w:pPr>
    </w:p>
    <w:p>
      <w:pPr>
        <w:pStyle w:val="23"/>
        <w:jc w:val="center"/>
      </w:pPr>
      <w:r>
        <w:drawing>
          <wp:inline distT="0" distB="0" distL="0" distR="0">
            <wp:extent cx="1534160" cy="898525"/>
            <wp:effectExtent l="0" t="0" r="889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566774" cy="917903"/>
                    </a:xfrm>
                    <a:prstGeom prst="rect">
                      <a:avLst/>
                    </a:prstGeom>
                    <a:noFill/>
                  </pic:spPr>
                </pic:pic>
              </a:graphicData>
            </a:graphic>
          </wp:inline>
        </w:drawing>
      </w:r>
      <w:r>
        <w:rPr>
          <w:rFonts w:hint="eastAsia"/>
        </w:rPr>
        <w:t xml:space="preserve"> </w:t>
      </w:r>
      <w:r>
        <w:t xml:space="preserve">   </w:t>
      </w:r>
      <w:r>
        <w:drawing>
          <wp:inline distT="0" distB="0" distL="0" distR="0">
            <wp:extent cx="1330325" cy="887730"/>
            <wp:effectExtent l="0" t="0" r="3175" b="762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378448" cy="920139"/>
                    </a:xfrm>
                    <a:prstGeom prst="rect">
                      <a:avLst/>
                    </a:prstGeom>
                    <a:noFill/>
                  </pic:spPr>
                </pic:pic>
              </a:graphicData>
            </a:graphic>
          </wp:inline>
        </w:drawing>
      </w:r>
    </w:p>
    <w:p>
      <w:pPr>
        <w:pStyle w:val="23"/>
        <w:jc w:val="center"/>
        <w:rPr>
          <w:rFonts w:ascii="黑体" w:hAnsi="黑体" w:eastAsia="黑体"/>
          <w:lang w:val="en-GB"/>
        </w:rPr>
      </w:pPr>
      <w:r>
        <w:rPr>
          <w:rFonts w:hint="eastAsia" w:ascii="黑体" w:hAnsi="黑体" w:eastAsia="黑体"/>
        </w:rPr>
        <w:t>图</w:t>
      </w:r>
      <w:r>
        <w:rPr>
          <w:rFonts w:ascii="黑体" w:hAnsi="黑体" w:eastAsia="黑体"/>
        </w:rPr>
        <w:t>C.</w:t>
      </w:r>
      <w:r>
        <w:rPr>
          <w:rFonts w:hint="eastAsia" w:ascii="黑体" w:hAnsi="黑体" w:eastAsia="黑体"/>
        </w:rPr>
        <w:t xml:space="preserve">2 </w:t>
      </w:r>
      <w:r>
        <w:rPr>
          <w:rFonts w:hint="eastAsia" w:ascii="黑体" w:hAnsi="黑体" w:eastAsia="黑体"/>
          <w:lang w:val="en-GB"/>
        </w:rPr>
        <w:t>加热装置布置及其连接导线引出示意图</w:t>
      </w:r>
    </w:p>
    <w:p>
      <w:pPr>
        <w:pStyle w:val="144"/>
        <w:numPr>
          <w:ilvl w:val="4"/>
          <w:numId w:val="6"/>
        </w:numPr>
        <w:spacing w:before="156" w:beforeLines="50" w:after="78"/>
        <w:rPr>
          <w:rFonts w:ascii="Times New Roman" w:hAnsi="Times New Roman" w:cs="Times New Roman"/>
          <w:kern w:val="21"/>
          <w:szCs w:val="20"/>
        </w:rPr>
      </w:pPr>
      <w:r>
        <w:rPr>
          <w:rFonts w:hint="eastAsia" w:ascii="Times New Roman" w:hAnsi="Times New Roman" w:cs="Times New Roman"/>
          <w:kern w:val="21"/>
          <w:szCs w:val="20"/>
        </w:rPr>
        <w:t>测试流程</w:t>
      </w:r>
    </w:p>
    <w:p>
      <w:pPr>
        <w:pStyle w:val="144"/>
        <w:spacing w:before="156" w:beforeLines="50" w:after="78"/>
        <w:ind w:firstLine="0"/>
        <w:rPr>
          <w:rFonts w:ascii="Times New Roman" w:hAnsi="Times New Roman" w:cs="Times New Roman"/>
          <w:kern w:val="21"/>
          <w:szCs w:val="20"/>
        </w:rPr>
      </w:pPr>
      <w:r>
        <w:rPr>
          <w:rFonts w:hint="eastAsia" w:ascii="Times New Roman" w:hAnsi="Times New Roman" w:cs="Times New Roman"/>
          <w:kern w:val="21"/>
          <w:szCs w:val="20"/>
        </w:rPr>
        <w:t xml:space="preserve">    内部加热触发热失控测试流程如下：</w:t>
      </w:r>
    </w:p>
    <w:p>
      <w:pPr>
        <w:pStyle w:val="102"/>
        <w:numPr>
          <w:ilvl w:val="0"/>
          <w:numId w:val="39"/>
        </w:numPr>
        <w:spacing w:beforeLines="0" w:afterLines="0"/>
        <w:outlineLvl w:val="9"/>
        <w:rPr>
          <w:rFonts w:ascii="Times New Roman" w:eastAsia="宋体"/>
          <w:szCs w:val="21"/>
        </w:rPr>
      </w:pPr>
      <w:r>
        <w:rPr>
          <w:rFonts w:hint="eastAsia" w:ascii="Times New Roman" w:eastAsia="宋体"/>
          <w:szCs w:val="21"/>
        </w:rPr>
        <w:t>测试前，使用电阻测量设备测量加热片的电阻值；</w:t>
      </w:r>
    </w:p>
    <w:p>
      <w:pPr>
        <w:pStyle w:val="102"/>
        <w:numPr>
          <w:ilvl w:val="0"/>
          <w:numId w:val="39"/>
        </w:numPr>
        <w:spacing w:beforeLines="0" w:afterLines="0"/>
        <w:outlineLvl w:val="9"/>
        <w:rPr>
          <w:rFonts w:ascii="Times New Roman" w:eastAsia="宋体"/>
          <w:szCs w:val="21"/>
        </w:rPr>
      </w:pPr>
      <w:r>
        <w:rPr>
          <w:rFonts w:hint="eastAsia" w:ascii="Times New Roman" w:eastAsia="宋体"/>
          <w:szCs w:val="21"/>
        </w:rPr>
        <w:t>根据目标加热功率调整供电设备电压，闭合开关对加热片进行供电，加热电池单体直至热失控。</w:t>
      </w:r>
    </w:p>
    <w:p>
      <w:pPr>
        <w:pStyle w:val="88"/>
        <w:spacing w:before="156" w:after="156"/>
        <w:rPr>
          <w:rFonts w:ascii="Times New Roman" w:eastAsiaTheme="minorEastAsia"/>
        </w:rPr>
      </w:pPr>
      <w:r>
        <w:rPr>
          <w:rFonts w:hint="eastAsia" w:ascii="Times New Roman" w:eastAsiaTheme="minorEastAsia"/>
        </w:rPr>
        <w:t>推荐的监控</w:t>
      </w:r>
      <w:r>
        <w:rPr>
          <w:rFonts w:ascii="Times New Roman" w:eastAsiaTheme="minorEastAsia"/>
        </w:rPr>
        <w:t>点布置方案</w:t>
      </w:r>
      <w:r>
        <w:rPr>
          <w:rFonts w:hint="eastAsia" w:ascii="Times New Roman" w:eastAsiaTheme="minorEastAsia"/>
        </w:rPr>
        <w:t>如下：</w:t>
      </w:r>
    </w:p>
    <w:p>
      <w:pPr>
        <w:pStyle w:val="102"/>
        <w:numPr>
          <w:ilvl w:val="0"/>
          <w:numId w:val="40"/>
        </w:numPr>
        <w:spacing w:beforeLines="0" w:afterLines="0"/>
        <w:ind w:left="840" w:leftChars="200" w:hanging="420" w:hangingChars="200"/>
        <w:outlineLvl w:val="9"/>
        <w:rPr>
          <w:rFonts w:ascii="Times New Roman" w:eastAsia="宋体"/>
          <w:szCs w:val="21"/>
        </w:rPr>
      </w:pPr>
      <w:r>
        <w:rPr>
          <w:rFonts w:hint="eastAsia" w:ascii="Times New Roman" w:eastAsia="宋体"/>
          <w:szCs w:val="21"/>
        </w:rPr>
        <w:t>监测电压或</w:t>
      </w:r>
      <w:r>
        <w:rPr>
          <w:rFonts w:ascii="Times New Roman" w:eastAsia="宋体"/>
          <w:szCs w:val="21"/>
        </w:rPr>
        <w:t>温度</w:t>
      </w:r>
      <w:r>
        <w:rPr>
          <w:rFonts w:hint="eastAsia" w:ascii="Times New Roman" w:eastAsia="宋体"/>
          <w:szCs w:val="21"/>
        </w:rPr>
        <w:t>，应使用原始的电路或</w:t>
      </w:r>
      <w:r>
        <w:rPr>
          <w:rFonts w:ascii="Times New Roman" w:eastAsia="宋体"/>
          <w:szCs w:val="21"/>
        </w:rPr>
        <w:t>追加新增</w:t>
      </w:r>
      <w:r>
        <w:rPr>
          <w:rFonts w:hint="eastAsia" w:ascii="Times New Roman" w:eastAsia="宋体"/>
          <w:szCs w:val="21"/>
        </w:rPr>
        <w:t>的</w:t>
      </w:r>
      <w:r>
        <w:rPr>
          <w:rFonts w:ascii="Times New Roman" w:eastAsia="宋体"/>
          <w:szCs w:val="21"/>
        </w:rPr>
        <w:t>测试用电路</w:t>
      </w:r>
      <w:r>
        <w:rPr>
          <w:rFonts w:hint="eastAsia" w:ascii="Times New Roman" w:eastAsia="宋体"/>
          <w:szCs w:val="21"/>
        </w:rPr>
        <w:t>。监测温度定义为温度</w:t>
      </w:r>
      <w:r>
        <w:rPr>
          <w:rFonts w:ascii="Times New Roman" w:eastAsia="宋体"/>
          <w:szCs w:val="21"/>
        </w:rPr>
        <w:t>A</w:t>
      </w:r>
      <w:r>
        <w:rPr>
          <w:rFonts w:hint="eastAsia" w:ascii="Times New Roman" w:eastAsia="宋体"/>
          <w:szCs w:val="21"/>
        </w:rPr>
        <w:t>（测试过程中触发对象的最高表面温度）。温度数据的采样间隔应小于</w:t>
      </w:r>
      <w:r>
        <w:rPr>
          <w:rFonts w:ascii="Times New Roman" w:eastAsia="宋体"/>
          <w:szCs w:val="21"/>
        </w:rPr>
        <w:t>1 s</w:t>
      </w:r>
      <w:r>
        <w:rPr>
          <w:rFonts w:hint="eastAsia" w:ascii="Times New Roman" w:eastAsia="宋体"/>
          <w:szCs w:val="21"/>
        </w:rPr>
        <w:t>，准确度要求为±</w:t>
      </w:r>
      <w:r>
        <w:rPr>
          <w:rFonts w:ascii="Times New Roman" w:eastAsia="宋体"/>
          <w:szCs w:val="21"/>
        </w:rPr>
        <w:t xml:space="preserve">2 </w:t>
      </w:r>
      <w:r>
        <w:rPr>
          <w:rFonts w:hint="eastAsia" w:ascii="Times New Roman" w:eastAsia="宋体"/>
          <w:szCs w:val="21"/>
        </w:rPr>
        <w:t>℃。</w:t>
      </w:r>
    </w:p>
    <w:p>
      <w:pPr>
        <w:pStyle w:val="102"/>
        <w:numPr>
          <w:ilvl w:val="0"/>
          <w:numId w:val="40"/>
        </w:numPr>
        <w:spacing w:beforeLines="0" w:afterLines="0"/>
        <w:ind w:left="840" w:leftChars="200" w:hanging="420" w:hangingChars="200"/>
        <w:outlineLvl w:val="9"/>
        <w:rPr>
          <w:rFonts w:ascii="Times New Roman" w:eastAsia="宋体"/>
          <w:szCs w:val="21"/>
        </w:rPr>
      </w:pPr>
      <w:r>
        <w:rPr>
          <w:rFonts w:hint="eastAsia" w:ascii="Times New Roman" w:eastAsia="宋体"/>
          <w:szCs w:val="21"/>
        </w:rPr>
        <w:t>针刺触发时，温度传感器的位置应尽可能接近短路点，</w:t>
      </w:r>
      <w:r>
        <w:rPr>
          <w:rFonts w:ascii="Times New Roman" w:eastAsia="宋体"/>
          <w:szCs w:val="21"/>
        </w:rPr>
        <w:t>也可使用针的温度</w:t>
      </w:r>
      <w:r>
        <w:rPr>
          <w:rFonts w:hint="eastAsia" w:ascii="Times New Roman" w:eastAsia="宋体"/>
          <w:szCs w:val="21"/>
        </w:rPr>
        <w:t>（</w:t>
      </w:r>
      <w:r>
        <w:rPr>
          <w:rFonts w:ascii="Times New Roman" w:eastAsia="宋体"/>
          <w:szCs w:val="21"/>
        </w:rPr>
        <w:t>如图</w:t>
      </w:r>
      <w:r>
        <w:rPr>
          <w:rFonts w:hint="eastAsia" w:ascii="Times New Roman" w:eastAsia="宋体"/>
          <w:szCs w:val="21"/>
        </w:rPr>
        <w:t>C.3）。</w:t>
      </w:r>
    </w:p>
    <w:p>
      <w:pPr>
        <w:ind w:firstLine="420" w:firstLineChars="200"/>
        <w:rPr>
          <w:kern w:val="21"/>
          <w:szCs w:val="21"/>
        </w:rPr>
      </w:pPr>
      <w:r>
        <w:rPr>
          <w:kern w:val="21"/>
          <w:szCs w:val="21"/>
        </w:rPr>
        <mc:AlternateContent>
          <mc:Choice Requires="wps">
            <w:drawing>
              <wp:anchor distT="0" distB="0" distL="114300" distR="114300" simplePos="0" relativeHeight="251675648" behindDoc="0" locked="0" layoutInCell="1" allowOverlap="1">
                <wp:simplePos x="0" y="0"/>
                <wp:positionH relativeFrom="column">
                  <wp:posOffset>1191895</wp:posOffset>
                </wp:positionH>
                <wp:positionV relativeFrom="paragraph">
                  <wp:posOffset>2540</wp:posOffset>
                </wp:positionV>
                <wp:extent cx="800735" cy="32956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800735" cy="329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rPr>
                              <w:t>触发对象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85pt;margin-top:0.2pt;height:25.95pt;width:63.05pt;z-index:251675648;mso-width-relative:page;mso-height-relative:page;" filled="f" stroked="f" coordsize="21600,21600" o:gfxdata="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reybdgAAAAHAQAADwAAAAAAAAABACAAAAAiAAAA&#10;ZHJzL2Rvd25yZXYueG1sUEsBAhQAFAAAAAgAh07iQKl6yYxAAgAAdQQAAA4AAAAAAAAAAQAgAAAA&#10;JwEAAGRycy9lMm9Eb2MueG1sUEsFBgAAAAAGAAYAWQEAANkFAAAAAA==&#10;">
                <v:fill on="f" focussize="0,0"/>
                <v:stroke on="f" weight="0.5pt"/>
                <v:imagedata o:title=""/>
                <o:lock v:ext="edit" aspectratio="f"/>
                <v:textbox>
                  <w:txbxContent>
                    <w:p>
                      <w:r>
                        <w:rPr>
                          <w:rFonts w:hint="eastAsia"/>
                        </w:rPr>
                        <w:t>触发对象</w:t>
                      </w:r>
                    </w:p>
                  </w:txbxContent>
                </v:textbox>
              </v:shape>
            </w:pict>
          </mc:Fallback>
        </mc:AlternateContent>
      </w:r>
      <w:r>
        <w:rPr>
          <w:kern w:val="21"/>
          <w:szCs w:val="21"/>
        </w:rPr>
        <mc:AlternateContent>
          <mc:Choice Requires="wps">
            <w:drawing>
              <wp:anchor distT="0" distB="0" distL="114300" distR="114300" simplePos="0" relativeHeight="251677696" behindDoc="0" locked="0" layoutInCell="1" allowOverlap="1">
                <wp:simplePos x="0" y="0"/>
                <wp:positionH relativeFrom="column">
                  <wp:posOffset>3209290</wp:posOffset>
                </wp:positionH>
                <wp:positionV relativeFrom="paragraph">
                  <wp:posOffset>8255</wp:posOffset>
                </wp:positionV>
                <wp:extent cx="1017905" cy="329565"/>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017905" cy="329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rPr>
                              <w:t>温度传感器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7pt;margin-top:0.65pt;height:25.95pt;width:80.15pt;z-index:251677696;mso-width-relative:page;mso-height-relative:page;" filled="f" stroked="f" coordsize="21600,21600" o:gfxdata="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O6MtN2QAAAAgBAAAPAAAAAAAAAAEAIAAA&#10;ACIAAABkcnMvZG93bnJldi54bWxQSwECFAAUAAAACACHTuJAXjUKykQCAAB4BAAADgAAAAAAAAAB&#10;ACAAAAAoAQAAZHJzL2Uyb0RvYy54bWxQSwUGAAAAAAYABgBZAQAA3gUAAAAA&#10;">
                <v:fill on="f" focussize="0,0"/>
                <v:stroke on="f" weight="0.5pt"/>
                <v:imagedata o:title=""/>
                <o:lock v:ext="edit" aspectratio="f"/>
                <v:textbox>
                  <w:txbxContent>
                    <w:p>
                      <w:r>
                        <w:rPr>
                          <w:rFonts w:hint="eastAsia"/>
                        </w:rPr>
                        <w:t>温度传感器</w:t>
                      </w:r>
                    </w:p>
                  </w:txbxContent>
                </v:textbox>
              </v:shape>
            </w:pict>
          </mc:Fallback>
        </mc:AlternateContent>
      </w:r>
    </w:p>
    <w:p>
      <w:pPr>
        <w:ind w:firstLine="420" w:firstLineChars="200"/>
        <w:rPr>
          <w:kern w:val="21"/>
          <w:szCs w:val="21"/>
        </w:rPr>
      </w:pPr>
      <w:r>
        <w:rPr>
          <w:kern w:val="21"/>
          <w:szCs w:val="21"/>
        </w:rPr>
        <mc:AlternateContent>
          <mc:Choice Requires="wps">
            <w:drawing>
              <wp:anchor distT="0" distB="0" distL="114300" distR="114300" simplePos="0" relativeHeight="251676672" behindDoc="0" locked="0" layoutInCell="1" allowOverlap="1">
                <wp:simplePos x="0" y="0"/>
                <wp:positionH relativeFrom="column">
                  <wp:posOffset>2804160</wp:posOffset>
                </wp:positionH>
                <wp:positionV relativeFrom="paragraph">
                  <wp:posOffset>46990</wp:posOffset>
                </wp:positionV>
                <wp:extent cx="471170" cy="339090"/>
                <wp:effectExtent l="0" t="0" r="24130" b="22860"/>
                <wp:wrapNone/>
                <wp:docPr id="193" name="直接连接符 193"/>
                <wp:cNvGraphicFramePr/>
                <a:graphic xmlns:a="http://schemas.openxmlformats.org/drawingml/2006/main">
                  <a:graphicData uri="http://schemas.microsoft.com/office/word/2010/wordprocessingShape">
                    <wps:wsp>
                      <wps:cNvCnPr/>
                      <wps:spPr>
                        <a:xfrm flipV="1">
                          <a:off x="0" y="0"/>
                          <a:ext cx="471170" cy="3390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20.8pt;margin-top:3.7pt;height:26.7pt;width:37.1pt;z-index:251676672;mso-width-relative:page;mso-height-relative:page;" filled="f" stroked="t" coordsize="21600,21600" o:gfxdata="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uVo/NcA&#10;AAAIAQAADwAAAAAAAAABACAAAAAiAAAAZHJzL2Rvd25yZXYueG1sUEsBAhQAFAAAAAgAh07iQOk+&#10;6MjnAQAArAMAAA4AAAAAAAAAAQAgAAAAJgEAAGRycy9lMm9Eb2MueG1sUEsFBgAAAAAGAAYAWQEA&#10;AH8FAAAAAA==&#10;">
                <v:fill on="f" focussize="0,0"/>
                <v:stroke color="#000000 [3213]" joinstyle="round"/>
                <v:imagedata o:title=""/>
                <o:lock v:ext="edit" aspectratio="f"/>
              </v:line>
            </w:pict>
          </mc:Fallback>
        </mc:AlternateContent>
      </w:r>
      <w:r>
        <w:rPr>
          <w:kern w:val="21"/>
          <w:szCs w:val="21"/>
        </w:rPr>
        <mc:AlternateContent>
          <mc:Choice Requires="wps">
            <w:drawing>
              <wp:anchor distT="0" distB="0" distL="114300" distR="114300" simplePos="0" relativeHeight="251666432" behindDoc="0" locked="0" layoutInCell="1" allowOverlap="1">
                <wp:simplePos x="0" y="0"/>
                <wp:positionH relativeFrom="column">
                  <wp:posOffset>3279775</wp:posOffset>
                </wp:positionH>
                <wp:positionV relativeFrom="paragraph">
                  <wp:posOffset>46355</wp:posOffset>
                </wp:positionV>
                <wp:extent cx="719455" cy="0"/>
                <wp:effectExtent l="0" t="0" r="23495" b="19050"/>
                <wp:wrapNone/>
                <wp:docPr id="194" name="直接连接符 194"/>
                <wp:cNvGraphicFramePr/>
                <a:graphic xmlns:a="http://schemas.openxmlformats.org/drawingml/2006/main">
                  <a:graphicData uri="http://schemas.microsoft.com/office/word/2010/wordprocessingShape">
                    <wps:wsp>
                      <wps:cNvCnPr/>
                      <wps:spPr>
                        <a:xfrm>
                          <a:off x="0" y="0"/>
                          <a:ext cx="7194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8.25pt;margin-top:3.65pt;height:0pt;width:56.65pt;z-index:251666432;mso-width-relative:page;mso-height-relative:page;" filled="f" stroked="t" coordsize="21600,21600" o:gfxdata="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TEm9UAAAAHAQAADwAAAAAAAAABACAA&#10;AAAiAAAAZHJzL2Rvd25yZXYueG1sUEsBAhQAFAAAAAgAh07iQLRTvPPXAQAAnQMAAA4AAAAAAAAA&#10;AQAgAAAAJAEAAGRycy9lMm9Eb2MueG1sUEsFBgAAAAAGAAYAWQEAAG0FAAAAAA==&#10;">
                <v:fill on="f" focussize="0,0"/>
                <v:stroke color="#000000 [3213]" joinstyle="round"/>
                <v:imagedata o:title=""/>
                <o:lock v:ext="edit" aspectratio="f"/>
              </v:line>
            </w:pict>
          </mc:Fallback>
        </mc:AlternateContent>
      </w:r>
      <w:r>
        <w:rPr>
          <w:kern w:val="21"/>
          <w:szCs w:val="21"/>
        </w:rPr>
        <mc:AlternateContent>
          <mc:Choice Requires="wps">
            <w:drawing>
              <wp:anchor distT="0" distB="0" distL="114300" distR="114300" simplePos="0" relativeHeight="251665408" behindDoc="0" locked="0" layoutInCell="1" allowOverlap="1">
                <wp:simplePos x="0" y="0"/>
                <wp:positionH relativeFrom="column">
                  <wp:posOffset>1151255</wp:posOffset>
                </wp:positionH>
                <wp:positionV relativeFrom="paragraph">
                  <wp:posOffset>45720</wp:posOffset>
                </wp:positionV>
                <wp:extent cx="720090" cy="635"/>
                <wp:effectExtent l="0" t="0" r="22860" b="37465"/>
                <wp:wrapNone/>
                <wp:docPr id="195" name="直接连接符 195"/>
                <wp:cNvGraphicFramePr/>
                <a:graphic xmlns:a="http://schemas.openxmlformats.org/drawingml/2006/main">
                  <a:graphicData uri="http://schemas.microsoft.com/office/word/2010/wordprocessingShape">
                    <wps:wsp>
                      <wps:cNvCnPr/>
                      <wps:spPr>
                        <a:xfrm>
                          <a:off x="0" y="0"/>
                          <a:ext cx="720090" cy="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0.65pt;margin-top:3.6pt;height:0.05pt;width:56.7pt;z-index:251665408;mso-width-relative:page;mso-height-relative:page;" filled="f" stroked="t" coordsize="21600,21600" o:gfxdata="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hOcdQAAAAHAQAADwAAAAAAAAAB&#10;ACAAAAAiAAAAZHJzL2Rvd25yZXYueG1sUEsBAhQAFAAAAAgAh07iQKH0807bAQAAnwMAAA4AAAAA&#10;AAAAAQAgAAAAIwEAAGRycy9lMm9Eb2MueG1sUEsFBgAAAAAGAAYAWQEAAHAFAAAAAA==&#10;">
                <v:fill on="f" focussize="0,0"/>
                <v:stroke color="#000000 [3213]" joinstyle="round"/>
                <v:imagedata o:title=""/>
                <o:lock v:ext="edit" aspectratio="f"/>
              </v:line>
            </w:pict>
          </mc:Fallback>
        </mc:AlternateContent>
      </w:r>
      <w:r>
        <w:rPr>
          <w:kern w:val="21"/>
          <w:szCs w:val="21"/>
        </w:rPr>
        <mc:AlternateContent>
          <mc:Choice Requires="wps">
            <w:drawing>
              <wp:anchor distT="0" distB="0" distL="114300" distR="114300" simplePos="0" relativeHeight="251664384" behindDoc="0" locked="0" layoutInCell="1" allowOverlap="1">
                <wp:simplePos x="0" y="0"/>
                <wp:positionH relativeFrom="column">
                  <wp:posOffset>1870710</wp:posOffset>
                </wp:positionH>
                <wp:positionV relativeFrom="paragraph">
                  <wp:posOffset>46355</wp:posOffset>
                </wp:positionV>
                <wp:extent cx="329565" cy="330200"/>
                <wp:effectExtent l="0" t="0" r="32385" b="31750"/>
                <wp:wrapNone/>
                <wp:docPr id="196" name="直接连接符 196"/>
                <wp:cNvGraphicFramePr/>
                <a:graphic xmlns:a="http://schemas.openxmlformats.org/drawingml/2006/main">
                  <a:graphicData uri="http://schemas.microsoft.com/office/word/2010/wordprocessingShape">
                    <wps:wsp>
                      <wps:cNvCnPr/>
                      <wps:spPr>
                        <a:xfrm flipH="1" flipV="1">
                          <a:off x="0" y="0"/>
                          <a:ext cx="329565" cy="330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47.3pt;margin-top:3.65pt;height:26pt;width:25.95pt;z-index:251664384;mso-width-relative:page;mso-height-relative:page;" filled="f" stroked="t" coordsize="21600,21600" o:gfxdata="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rAx9P1QAA&#10;AAgBAAAPAAAAAAAAAAEAIAAAACIAAABkcnMvZG93bnJldi54bWxQSwECFAAUAAAACACHTuJAyutu&#10;1egBAAC2AwAADgAAAAAAAAABACAAAAAkAQAAZHJzL2Uyb0RvYy54bWxQSwUGAAAAAAYABgBZAQAA&#10;fgUAAAAA&#10;">
                <v:fill on="f" focussize="0,0"/>
                <v:stroke color="#000000 [3213]" joinstyle="round"/>
                <v:imagedata o:title=""/>
                <o:lock v:ext="edit" aspectratio="f"/>
              </v:line>
            </w:pict>
          </mc:Fallback>
        </mc:AlternateContent>
      </w:r>
    </w:p>
    <w:p>
      <w:pPr>
        <w:ind w:firstLine="420" w:firstLineChars="200"/>
        <w:rPr>
          <w:kern w:val="21"/>
          <w:szCs w:val="21"/>
        </w:rPr>
      </w:pPr>
      <w:r>
        <w:rPr>
          <w:kern w:val="21"/>
          <w:szCs w:val="21"/>
        </w:rPr>
        <mc:AlternateContent>
          <mc:Choice Requires="wps">
            <w:drawing>
              <wp:anchor distT="0" distB="0" distL="114300" distR="114300" simplePos="0" relativeHeight="251670528" behindDoc="0" locked="0" layoutInCell="1" allowOverlap="1">
                <wp:simplePos x="0" y="0"/>
                <wp:positionH relativeFrom="column">
                  <wp:posOffset>2059305</wp:posOffset>
                </wp:positionH>
                <wp:positionV relativeFrom="paragraph">
                  <wp:posOffset>8890</wp:posOffset>
                </wp:positionV>
                <wp:extent cx="1489075" cy="734695"/>
                <wp:effectExtent l="0" t="0" r="15875" b="27305"/>
                <wp:wrapNone/>
                <wp:docPr id="197" name="圆角矩形 197"/>
                <wp:cNvGraphicFramePr/>
                <a:graphic xmlns:a="http://schemas.openxmlformats.org/drawingml/2006/main">
                  <a:graphicData uri="http://schemas.microsoft.com/office/word/2010/wordprocessingShape">
                    <wps:wsp>
                      <wps:cNvSpPr/>
                      <wps:spPr>
                        <a:xfrm>
                          <a:off x="0" y="0"/>
                          <a:ext cx="1489075" cy="7346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2.15pt;margin-top:0.7pt;height:57.85pt;width:117.25pt;z-index:251670528;v-text-anchor:middle;mso-width-relative:page;mso-height-relative:page;" filled="f" stroked="t" coordsize="21600,21600" arcsize="0.166666666666667" o:gfxdata="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OdsEc1QAAAAkBAAAPAAAAAAAAAAEAIAAAACIAAABkcnMvZG93bnJldi54&#10;bWxQSwECFAAUAAAACACHTuJAmqbyCm8CAADDBAAADgAAAAAAAAABACAAAAAkAQAAZHJzL2Uyb0Rv&#10;Yy54bWxQSwUGAAAAAAYABgBZAQAABQYAAAAA&#10;">
                <v:fill on="f" focussize="0,0"/>
                <v:stroke weight="2pt" color="#000000 [3213]" joinstyle="round"/>
                <v:imagedata o:title=""/>
                <o:lock v:ext="edit" aspectratio="f"/>
              </v:roundrect>
            </w:pict>
          </mc:Fallback>
        </mc:AlternateContent>
      </w:r>
      <w:r>
        <w:rPr>
          <w:kern w:val="21"/>
          <w:szCs w:val="21"/>
        </w:rPr>
        <mc:AlternateContent>
          <mc:Choice Requires="wps">
            <w:drawing>
              <wp:anchor distT="0" distB="0" distL="114300" distR="114300" simplePos="0" relativeHeight="251674624" behindDoc="0" locked="0" layoutInCell="1" allowOverlap="1">
                <wp:simplePos x="0" y="0"/>
                <wp:positionH relativeFrom="column">
                  <wp:posOffset>2728595</wp:posOffset>
                </wp:positionH>
                <wp:positionV relativeFrom="paragraph">
                  <wp:posOffset>169545</wp:posOffset>
                </wp:positionV>
                <wp:extent cx="71755" cy="71755"/>
                <wp:effectExtent l="0" t="0" r="23495" b="23495"/>
                <wp:wrapNone/>
                <wp:docPr id="198" name="椭圆 198"/>
                <wp:cNvGraphicFramePr/>
                <a:graphic xmlns:a="http://schemas.openxmlformats.org/drawingml/2006/main">
                  <a:graphicData uri="http://schemas.microsoft.com/office/word/2010/wordprocessingShape">
                    <wps:wsp>
                      <wps:cNvSpPr/>
                      <wps:spPr>
                        <a:xfrm>
                          <a:off x="0" y="0"/>
                          <a:ext cx="71755" cy="7175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4.85pt;margin-top:13.35pt;height:5.65pt;width:5.65pt;z-index:251674624;v-text-anchor:middle;mso-width-relative:page;mso-height-relative:page;" fillcolor="#000000 [3213]" filled="t" stroked="t" coordsize="21600,21600" o:gfxdata="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Nb8WNgAAAAJAQAADwAAAAAAAAABACAAAAAiAAAAZHJzL2Rvd25yZXYueG1sUEsBAhQAFAAAAAgA&#10;h07iQATm4zNeAgAA4QQAAA4AAAAAAAAAAQAgAAAAJwEAAGRycy9lMm9Eb2MueG1sUEsFBgAAAAAG&#10;AAYAWQEAAPcFAAAAAA==&#10;">
                <v:fill on="t" focussize="0,0"/>
                <v:stroke weight="2pt" color="#000000 [3213]" joinstyle="round"/>
                <v:imagedata o:title=""/>
                <o:lock v:ext="edit" aspectratio="f"/>
              </v:shape>
            </w:pict>
          </mc:Fallback>
        </mc:AlternateContent>
      </w:r>
    </w:p>
    <w:p>
      <w:pPr>
        <w:ind w:firstLine="420" w:firstLineChars="200"/>
        <w:rPr>
          <w:kern w:val="21"/>
          <w:szCs w:val="21"/>
        </w:rPr>
      </w:pPr>
      <w:r>
        <w:rPr>
          <w:kern w:val="21"/>
          <w:szCs w:val="21"/>
        </w:rPr>
        <mc:AlternateContent>
          <mc:Choice Requires="wps">
            <w:drawing>
              <wp:anchor distT="0" distB="0" distL="114300" distR="114300" simplePos="0" relativeHeight="251672576" behindDoc="0" locked="0" layoutInCell="1" allowOverlap="1">
                <wp:simplePos x="0" y="0"/>
                <wp:positionH relativeFrom="column">
                  <wp:posOffset>2672080</wp:posOffset>
                </wp:positionH>
                <wp:positionV relativeFrom="paragraph">
                  <wp:posOffset>74930</wp:posOffset>
                </wp:positionV>
                <wp:extent cx="179705" cy="179705"/>
                <wp:effectExtent l="0" t="0" r="10795" b="10795"/>
                <wp:wrapNone/>
                <wp:docPr id="199" name="椭圆 199"/>
                <wp:cNvGraphicFramePr/>
                <a:graphic xmlns:a="http://schemas.openxmlformats.org/drawingml/2006/main">
                  <a:graphicData uri="http://schemas.microsoft.com/office/word/2010/wordprocessingShape">
                    <wps:wsp>
                      <wps:cNvSpPr/>
                      <wps:spPr>
                        <a:xfrm>
                          <a:off x="0" y="0"/>
                          <a:ext cx="179705" cy="17970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0.4pt;margin-top:5.9pt;height:14.15pt;width:14.15pt;z-index:251672576;v-text-anchor:middle;mso-width-relative:page;mso-height-relative:page;" fillcolor="#000000 [3213]" filled="t" stroked="t" coordsize="21600,21600" o:gfxdata="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0BtTrtcAAAAJAQAADwAAAAAAAAABACAAAAAiAAAAZHJzL2Rvd25yZXYueG1sUEsBAhQAFAAAAAgA&#10;h07iQMWFF31fAgAA4wQAAA4AAAAAAAAAAQAgAAAAJgEAAGRycy9lMm9Eb2MueG1sUEsFBgAAAAAG&#10;AAYAWQEAAPcFAAAAAA==&#10;">
                <v:fill on="t" focussize="0,0"/>
                <v:stroke weight="2pt" color="#000000 [3213]" joinstyle="round"/>
                <v:imagedata o:title=""/>
                <o:lock v:ext="edit" aspectratio="f"/>
              </v:shape>
            </w:pict>
          </mc:Fallback>
        </mc:AlternateContent>
      </w:r>
    </w:p>
    <w:p>
      <w:pPr>
        <w:ind w:firstLine="420" w:firstLineChars="200"/>
        <w:rPr>
          <w:kern w:val="21"/>
          <w:szCs w:val="21"/>
        </w:rPr>
      </w:pPr>
      <w:r>
        <w:rPr>
          <w:kern w:val="21"/>
          <w:szCs w:val="21"/>
        </w:rPr>
        <mc:AlternateContent>
          <mc:Choice Requires="wps">
            <w:drawing>
              <wp:anchor distT="0" distB="0" distL="114300" distR="114300" simplePos="0" relativeHeight="251678720" behindDoc="0" locked="0" layoutInCell="1" allowOverlap="1">
                <wp:simplePos x="0" y="0"/>
                <wp:positionH relativeFrom="column">
                  <wp:posOffset>2728595</wp:posOffset>
                </wp:positionH>
                <wp:positionV relativeFrom="paragraph">
                  <wp:posOffset>-635</wp:posOffset>
                </wp:positionV>
                <wp:extent cx="480695" cy="565785"/>
                <wp:effectExtent l="0" t="0" r="33655" b="24765"/>
                <wp:wrapNone/>
                <wp:docPr id="200" name="直接连接符 200"/>
                <wp:cNvGraphicFramePr/>
                <a:graphic xmlns:a="http://schemas.openxmlformats.org/drawingml/2006/main">
                  <a:graphicData uri="http://schemas.microsoft.com/office/word/2010/wordprocessingShape">
                    <wps:wsp>
                      <wps:cNvCnPr/>
                      <wps:spPr>
                        <a:xfrm>
                          <a:off x="0" y="0"/>
                          <a:ext cx="480695" cy="5657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4.85pt;margin-top:-0.05pt;height:44.55pt;width:37.85pt;z-index:251678720;mso-width-relative:page;mso-height-relative:page;" filled="f" stroked="t" coordsize="21600,21600" o:gfxdata="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CTWXXXAAAACAEAAA8AAAAA&#10;AAAAAQAgAAAAIgAAAGRycy9kb3ducmV2LnhtbFBLAQIUABQAAAAIAIdO4kAAFH9B3AEAAKIDAAAO&#10;AAAAAAAAAAEAIAAAACYBAABkcnMvZTJvRG9jLnhtbFBLBQYAAAAABgAGAFkBAAB0BQAAAAA=&#10;">
                <v:fill on="f" focussize="0,0"/>
                <v:stroke color="#000000 [3213]" joinstyle="round"/>
                <v:imagedata o:title=""/>
                <o:lock v:ext="edit" aspectratio="f"/>
              </v:line>
            </w:pict>
          </mc:Fallback>
        </mc:AlternateContent>
      </w:r>
    </w:p>
    <w:p>
      <w:pPr>
        <w:ind w:firstLine="420" w:firstLineChars="200"/>
        <w:rPr>
          <w:kern w:val="21"/>
          <w:szCs w:val="21"/>
        </w:rPr>
      </w:pPr>
      <w:r>
        <w:rPr>
          <w:kern w:val="21"/>
          <w:szCs w:val="21"/>
        </w:rPr>
        <mc:AlternateContent>
          <mc:Choice Requires="wps">
            <w:drawing>
              <wp:anchor distT="0" distB="0" distL="114300" distR="114300" simplePos="0" relativeHeight="251679744" behindDoc="0" locked="0" layoutInCell="1" allowOverlap="1">
                <wp:simplePos x="0" y="0"/>
                <wp:positionH relativeFrom="column">
                  <wp:posOffset>3301365</wp:posOffset>
                </wp:positionH>
                <wp:positionV relativeFrom="paragraph">
                  <wp:posOffset>130175</wp:posOffset>
                </wp:positionV>
                <wp:extent cx="640715" cy="329565"/>
                <wp:effectExtent l="0" t="0" r="0" b="0"/>
                <wp:wrapNone/>
                <wp:docPr id="201" name="文本框 201"/>
                <wp:cNvGraphicFramePr/>
                <a:graphic xmlns:a="http://schemas.openxmlformats.org/drawingml/2006/main">
                  <a:graphicData uri="http://schemas.microsoft.com/office/word/2010/wordprocessingShape">
                    <wps:wsp>
                      <wps:cNvSpPr txBox="1"/>
                      <wps:spPr>
                        <a:xfrm>
                          <a:off x="0" y="0"/>
                          <a:ext cx="640715" cy="329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rPr>
                              <w:t>针刺点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95pt;margin-top:10.25pt;height:25.95pt;width:50.45pt;z-index:251679744;mso-width-relative:page;mso-height-relative:page;" filled="f" stroked="f" coordsize="21600,21600" o:gfxdata="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Lf7SXaAAAACQEAAA8AAAAAAAAAAQAgAAAA&#10;IgAAAGRycy9kb3ducmV2LnhtbFBLAQIUABQAAAAIAIdO4kCz0ia6QgIAAHcEAAAOAAAAAAAAAAEA&#10;IAAAACkBAABkcnMvZTJvRG9jLnhtbFBLBQYAAAAABgAGAFkBAADdBQAAAAA=&#10;">
                <v:fill on="f" focussize="0,0"/>
                <v:stroke on="f" weight="0.5pt"/>
                <v:imagedata o:title=""/>
                <o:lock v:ext="edit" aspectratio="f"/>
                <v:textbox>
                  <w:txbxContent>
                    <w:p>
                      <w:r>
                        <w:rPr>
                          <w:rFonts w:hint="eastAsia"/>
                        </w:rPr>
                        <w:t>针刺点</w:t>
                      </w:r>
                    </w:p>
                  </w:txbxContent>
                </v:textbox>
              </v:shape>
            </w:pict>
          </mc:Fallback>
        </mc:AlternateContent>
      </w:r>
    </w:p>
    <w:p>
      <w:pPr>
        <w:spacing w:after="120"/>
        <w:ind w:right="1134"/>
        <w:jc w:val="center"/>
        <w:rPr>
          <w:kern w:val="21"/>
          <w:szCs w:val="21"/>
        </w:rPr>
      </w:pPr>
      <w:r>
        <w:rPr>
          <w:kern w:val="21"/>
          <w:szCs w:val="21"/>
        </w:rPr>
        <mc:AlternateContent>
          <mc:Choice Requires="wps">
            <w:drawing>
              <wp:anchor distT="0" distB="0" distL="114300" distR="114300" simplePos="0" relativeHeight="251668480" behindDoc="0" locked="0" layoutInCell="1" allowOverlap="1">
                <wp:simplePos x="0" y="0"/>
                <wp:positionH relativeFrom="column">
                  <wp:posOffset>3215005</wp:posOffset>
                </wp:positionH>
                <wp:positionV relativeFrom="paragraph">
                  <wp:posOffset>169545</wp:posOffset>
                </wp:positionV>
                <wp:extent cx="719455" cy="0"/>
                <wp:effectExtent l="0" t="0" r="23495" b="19050"/>
                <wp:wrapNone/>
                <wp:docPr id="202" name="直接连接符 202"/>
                <wp:cNvGraphicFramePr/>
                <a:graphic xmlns:a="http://schemas.openxmlformats.org/drawingml/2006/main">
                  <a:graphicData uri="http://schemas.microsoft.com/office/word/2010/wordprocessingShape">
                    <wps:wsp>
                      <wps:cNvCnPr/>
                      <wps:spPr>
                        <a:xfrm>
                          <a:off x="0" y="0"/>
                          <a:ext cx="7194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3.15pt;margin-top:13.35pt;height:0pt;width:56.65pt;z-index:251668480;mso-width-relative:page;mso-height-relative:page;" filled="f" stroked="t" coordsize="21600,21600" o:gfxdata="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pm/gBNYAAAAJAQAADwAAAAAAAAAB&#10;ACAAAAAiAAAAZHJzL2Rvd25yZXYueG1sUEsBAhQAFAAAAAgAh07iQEudItDZAQAAnQMAAA4AAAAA&#10;AAAAAQAgAAAAJQEAAGRycy9lMm9Eb2MueG1sUEsFBgAAAAAGAAYAWQEAAHAFAAAAAA==&#10;">
                <v:fill on="f" focussize="0,0"/>
                <v:stroke color="#000000 [3213]" joinstyle="round"/>
                <v:imagedata o:title=""/>
                <o:lock v:ext="edit" aspectratio="f"/>
              </v:line>
            </w:pict>
          </mc:Fallback>
        </mc:AlternateContent>
      </w:r>
    </w:p>
    <w:p>
      <w:pPr>
        <w:spacing w:before="156" w:beforeLines="50" w:after="156" w:afterLines="50"/>
        <w:jc w:val="center"/>
        <w:rPr>
          <w:rFonts w:ascii="黑体" w:hAnsi="黑体" w:eastAsia="黑体"/>
          <w:kern w:val="21"/>
          <w:szCs w:val="21"/>
        </w:rPr>
      </w:pPr>
      <w:r>
        <w:rPr>
          <w:rFonts w:hint="eastAsia" w:ascii="黑体" w:hAnsi="黑体" w:eastAsia="黑体"/>
          <w:kern w:val="21"/>
          <w:szCs w:val="21"/>
        </w:rPr>
        <w:t>图</w:t>
      </w:r>
      <w:r>
        <w:rPr>
          <w:rFonts w:ascii="黑体" w:hAnsi="黑体" w:eastAsia="黑体"/>
          <w:kern w:val="21"/>
          <w:szCs w:val="21"/>
        </w:rPr>
        <w:t>C.</w:t>
      </w:r>
      <w:r>
        <w:rPr>
          <w:rFonts w:hint="eastAsia" w:ascii="黑体" w:hAnsi="黑体" w:eastAsia="黑体"/>
          <w:kern w:val="21"/>
          <w:szCs w:val="21"/>
        </w:rPr>
        <w:t>3</w:t>
      </w:r>
      <w:r>
        <w:rPr>
          <w:rFonts w:ascii="黑体" w:hAnsi="黑体" w:eastAsia="黑体"/>
          <w:kern w:val="21"/>
          <w:szCs w:val="21"/>
        </w:rPr>
        <w:t xml:space="preserve"> </w:t>
      </w:r>
      <w:r>
        <w:rPr>
          <w:rFonts w:hint="eastAsia" w:ascii="黑体" w:hAnsi="黑体" w:eastAsia="黑体"/>
          <w:kern w:val="21"/>
          <w:szCs w:val="21"/>
        </w:rPr>
        <w:t>针刺触发时温度传感器的布置位置示意图</w:t>
      </w:r>
    </w:p>
    <w:p>
      <w:pPr>
        <w:pStyle w:val="102"/>
        <w:numPr>
          <w:ilvl w:val="0"/>
          <w:numId w:val="40"/>
        </w:numPr>
        <w:spacing w:beforeLines="0" w:after="156" w:afterLines="50"/>
        <w:ind w:left="840" w:leftChars="200" w:hanging="420" w:hangingChars="200"/>
        <w:outlineLvl w:val="9"/>
        <w:rPr>
          <w:rFonts w:ascii="Times New Roman" w:eastAsia="宋体"/>
          <w:szCs w:val="21"/>
        </w:rPr>
      </w:pPr>
      <w:r>
        <w:rPr>
          <w:rFonts w:hint="eastAsia" w:ascii="Times New Roman" w:eastAsia="宋体"/>
          <w:szCs w:val="21"/>
        </w:rPr>
        <w:t>加热触发时，温度传感器布置在远离热传导的一侧，即安装在加热装置的对侧（如图</w:t>
      </w:r>
      <w:r>
        <w:rPr>
          <w:rFonts w:ascii="Times New Roman" w:eastAsia="宋体"/>
          <w:szCs w:val="21"/>
        </w:rPr>
        <w:t>C.</w:t>
      </w:r>
      <w:r>
        <w:rPr>
          <w:rFonts w:hint="eastAsia" w:ascii="Times New Roman" w:eastAsia="宋体"/>
          <w:szCs w:val="21"/>
        </w:rPr>
        <w:t>4，图C</w:t>
      </w:r>
      <w:r>
        <w:rPr>
          <w:rFonts w:ascii="Times New Roman" w:eastAsia="宋体"/>
          <w:szCs w:val="21"/>
        </w:rPr>
        <w:t>.</w:t>
      </w:r>
      <w:r>
        <w:rPr>
          <w:rFonts w:hint="eastAsia" w:ascii="Times New Roman" w:eastAsia="宋体"/>
          <w:szCs w:val="21"/>
        </w:rPr>
        <w:t>5）。</w:t>
      </w:r>
    </w:p>
    <w:tbl>
      <w:tblPr>
        <w:tblStyle w:val="33"/>
        <w:tblW w:w="9159" w:type="dxa"/>
        <w:jc w:val="center"/>
        <w:tblLayout w:type="fixed"/>
        <w:tblCellMar>
          <w:top w:w="0" w:type="dxa"/>
          <w:left w:w="108" w:type="dxa"/>
          <w:bottom w:w="0" w:type="dxa"/>
          <w:right w:w="108" w:type="dxa"/>
        </w:tblCellMar>
      </w:tblPr>
      <w:tblGrid>
        <w:gridCol w:w="3053"/>
        <w:gridCol w:w="3053"/>
        <w:gridCol w:w="3053"/>
      </w:tblGrid>
      <w:tr>
        <w:tblPrEx>
          <w:tblCellMar>
            <w:top w:w="0" w:type="dxa"/>
            <w:left w:w="108" w:type="dxa"/>
            <w:bottom w:w="0" w:type="dxa"/>
            <w:right w:w="108" w:type="dxa"/>
          </w:tblCellMar>
        </w:tblPrEx>
        <w:trPr>
          <w:jc w:val="center"/>
        </w:trPr>
        <w:tc>
          <w:tcPr>
            <w:tcW w:w="3053" w:type="dxa"/>
            <w:vAlign w:val="center"/>
          </w:tcPr>
          <w:p>
            <w:pPr>
              <w:pStyle w:val="104"/>
              <w:widowControl w:val="0"/>
              <w:numPr>
                <w:ilvl w:val="0"/>
                <w:numId w:val="0"/>
              </w:numPr>
              <w:spacing w:line="36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drawing>
                <wp:inline distT="0" distB="0" distL="0" distR="0">
                  <wp:extent cx="1060450" cy="936625"/>
                  <wp:effectExtent l="0" t="0" r="0" b="0"/>
                  <wp:docPr id="3" name="图片 55"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5" descr="图片19"/>
                          <pic:cNvPicPr>
                            <a:picLocks noChangeAspect="1" noChangeArrowheads="1"/>
                          </pic:cNvPicPr>
                        </pic:nvPicPr>
                        <pic:blipFill>
                          <a:blip r:embed="rId33" cstate="print">
                            <a:extLst>
                              <a:ext uri="{28A0092B-C50C-407E-A947-70E740481C1C}">
                                <a14:useLocalDpi xmlns:a14="http://schemas.microsoft.com/office/drawing/2010/main" val="0"/>
                              </a:ext>
                            </a:extLst>
                          </a:blip>
                          <a:srcRect t="11961" r="77031" b="19125"/>
                          <a:stretch>
                            <a:fillRect/>
                          </a:stretch>
                        </pic:blipFill>
                        <pic:spPr>
                          <a:xfrm>
                            <a:off x="0" y="0"/>
                            <a:ext cx="1060450" cy="936625"/>
                          </a:xfrm>
                          <a:prstGeom prst="rect">
                            <a:avLst/>
                          </a:prstGeom>
                          <a:noFill/>
                          <a:ln>
                            <a:noFill/>
                          </a:ln>
                        </pic:spPr>
                      </pic:pic>
                    </a:graphicData>
                  </a:graphic>
                </wp:inline>
              </w:drawing>
            </w:r>
          </w:p>
        </w:tc>
        <w:tc>
          <w:tcPr>
            <w:tcW w:w="3053" w:type="dxa"/>
            <w:vAlign w:val="center"/>
          </w:tcPr>
          <w:p>
            <w:pPr>
              <w:pStyle w:val="104"/>
              <w:numPr>
                <w:ilvl w:val="0"/>
                <w:numId w:val="0"/>
              </w:numPr>
              <w:spacing w:line="36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drawing>
                <wp:inline distT="0" distB="0" distL="0" distR="0">
                  <wp:extent cx="1068070" cy="936625"/>
                  <wp:effectExtent l="0" t="0" r="0" b="0"/>
                  <wp:docPr id="10" name="图片 56"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descr="图片19"/>
                          <pic:cNvPicPr>
                            <a:picLocks noChangeAspect="1" noChangeArrowheads="1"/>
                          </pic:cNvPicPr>
                        </pic:nvPicPr>
                        <pic:blipFill>
                          <a:blip r:embed="rId34" cstate="print">
                            <a:extLst>
                              <a:ext uri="{28A0092B-C50C-407E-A947-70E740481C1C}">
                                <a14:useLocalDpi xmlns:a14="http://schemas.microsoft.com/office/drawing/2010/main" val="0"/>
                              </a:ext>
                            </a:extLst>
                          </a:blip>
                          <a:srcRect l="24928" t="11961" r="45799"/>
                          <a:stretch>
                            <a:fillRect/>
                          </a:stretch>
                        </pic:blipFill>
                        <pic:spPr>
                          <a:xfrm>
                            <a:off x="0" y="0"/>
                            <a:ext cx="1068070" cy="936625"/>
                          </a:xfrm>
                          <a:prstGeom prst="rect">
                            <a:avLst/>
                          </a:prstGeom>
                          <a:noFill/>
                          <a:ln>
                            <a:noFill/>
                          </a:ln>
                        </pic:spPr>
                      </pic:pic>
                    </a:graphicData>
                  </a:graphic>
                </wp:inline>
              </w:drawing>
            </w:r>
          </w:p>
        </w:tc>
        <w:tc>
          <w:tcPr>
            <w:tcW w:w="3053" w:type="dxa"/>
            <w:vAlign w:val="center"/>
          </w:tcPr>
          <w:p>
            <w:pPr>
              <w:pStyle w:val="104"/>
              <w:numPr>
                <w:ilvl w:val="0"/>
                <w:numId w:val="0"/>
              </w:numPr>
              <w:spacing w:line="36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drawing>
                <wp:inline distT="0" distB="0" distL="0" distR="0">
                  <wp:extent cx="680085" cy="936625"/>
                  <wp:effectExtent l="0" t="0" r="0" b="0"/>
                  <wp:docPr id="11" name="图片 59"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9" descr="图片19"/>
                          <pic:cNvPicPr>
                            <a:picLocks noChangeAspect="1" noChangeArrowheads="1"/>
                          </pic:cNvPicPr>
                        </pic:nvPicPr>
                        <pic:blipFill>
                          <a:blip r:embed="rId35" cstate="print">
                            <a:extLst>
                              <a:ext uri="{28A0092B-C50C-407E-A947-70E740481C1C}">
                                <a14:useLocalDpi xmlns:a14="http://schemas.microsoft.com/office/drawing/2010/main" val="0"/>
                              </a:ext>
                            </a:extLst>
                          </a:blip>
                          <a:srcRect l="54622" t="27754" r="32353" b="10623"/>
                          <a:stretch>
                            <a:fillRect/>
                          </a:stretch>
                        </pic:blipFill>
                        <pic:spPr>
                          <a:xfrm>
                            <a:off x="0" y="0"/>
                            <a:ext cx="680085" cy="936625"/>
                          </a:xfrm>
                          <a:prstGeom prst="rect">
                            <a:avLst/>
                          </a:prstGeom>
                          <a:noFill/>
                          <a:ln>
                            <a:noFill/>
                          </a:ln>
                        </pic:spPr>
                      </pic:pic>
                    </a:graphicData>
                  </a:graphic>
                </wp:inline>
              </w:drawing>
            </w:r>
          </w:p>
        </w:tc>
      </w:tr>
      <w:tr>
        <w:tblPrEx>
          <w:tblCellMar>
            <w:top w:w="0" w:type="dxa"/>
            <w:left w:w="108" w:type="dxa"/>
            <w:bottom w:w="0" w:type="dxa"/>
            <w:right w:w="108" w:type="dxa"/>
          </w:tblCellMar>
        </w:tblPrEx>
        <w:trPr>
          <w:jc w:val="center"/>
        </w:trPr>
        <w:tc>
          <w:tcPr>
            <w:tcW w:w="3053" w:type="dxa"/>
            <w:vAlign w:val="center"/>
          </w:tcPr>
          <w:p>
            <w:pPr>
              <w:pStyle w:val="99"/>
              <w:numPr>
                <w:ilvl w:val="0"/>
                <w:numId w:val="0"/>
              </w:numPr>
              <w:spacing w:before="156" w:after="156"/>
              <w:rPr>
                <w:rFonts w:hAnsi="黑体"/>
                <w:color w:val="000000" w:themeColor="text1"/>
                <w14:textFill>
                  <w14:solidFill>
                    <w14:schemeClr w14:val="tx1"/>
                  </w14:solidFill>
                </w14:textFill>
              </w:rPr>
            </w:pPr>
            <w:r>
              <w:rPr>
                <w:rFonts w:hAnsi="黑体"/>
                <w:color w:val="000000" w:themeColor="text1"/>
                <w14:textFill>
                  <w14:solidFill>
                    <w14:schemeClr w14:val="tx1"/>
                  </w14:solidFill>
                </w14:textFill>
              </w:rPr>
              <w:t xml:space="preserve">a) </w:t>
            </w:r>
            <w:r>
              <w:rPr>
                <w:rFonts w:hint="eastAsia" w:hAnsi="黑体"/>
                <w:color w:val="000000" w:themeColor="text1"/>
                <w14:textFill>
                  <w14:solidFill>
                    <w14:schemeClr w14:val="tx1"/>
                  </w14:solidFill>
                </w14:textFill>
              </w:rPr>
              <w:t>硬壳及软包电池</w:t>
            </w:r>
          </w:p>
        </w:tc>
        <w:tc>
          <w:tcPr>
            <w:tcW w:w="3053" w:type="dxa"/>
            <w:vAlign w:val="center"/>
          </w:tcPr>
          <w:p>
            <w:pPr>
              <w:pStyle w:val="99"/>
              <w:numPr>
                <w:ilvl w:val="0"/>
                <w:numId w:val="0"/>
              </w:numPr>
              <w:spacing w:before="156" w:after="156"/>
              <w:rPr>
                <w:rFonts w:hAnsi="黑体"/>
                <w:color w:val="000000" w:themeColor="text1"/>
                <w14:textFill>
                  <w14:solidFill>
                    <w14:schemeClr w14:val="tx1"/>
                  </w14:solidFill>
                </w14:textFill>
              </w:rPr>
            </w:pPr>
            <w:r>
              <w:rPr>
                <w:rFonts w:hint="eastAsia" w:hAnsi="黑体"/>
                <w:color w:val="000000" w:themeColor="text1"/>
                <w14:textFill>
                  <w14:solidFill>
                    <w14:schemeClr w14:val="tx1"/>
                  </w14:solidFill>
                </w14:textFill>
              </w:rPr>
              <w:t>b</w:t>
            </w:r>
            <w:r>
              <w:rPr>
                <w:rFonts w:hAnsi="黑体"/>
                <w:color w:val="000000" w:themeColor="text1"/>
                <w14:textFill>
                  <w14:solidFill>
                    <w14:schemeClr w14:val="tx1"/>
                  </w14:solidFill>
                </w14:textFill>
              </w:rPr>
              <w:t xml:space="preserve">) </w:t>
            </w:r>
            <w:r>
              <w:rPr>
                <w:rFonts w:hint="eastAsia" w:hAnsi="黑体"/>
                <w:color w:val="000000" w:themeColor="text1"/>
                <w14:textFill>
                  <w14:solidFill>
                    <w14:schemeClr w14:val="tx1"/>
                  </w14:solidFill>
                </w14:textFill>
              </w:rPr>
              <w:t>圆柱形电池</w:t>
            </w:r>
            <w:r>
              <w:rPr>
                <w:rFonts w:hAnsi="黑体"/>
                <w:color w:val="000000" w:themeColor="text1"/>
                <w14:textFill>
                  <w14:solidFill>
                    <w14:schemeClr w14:val="tx1"/>
                  </w14:solidFill>
                </w14:textFill>
              </w:rPr>
              <w:t>-I</w:t>
            </w:r>
          </w:p>
        </w:tc>
        <w:tc>
          <w:tcPr>
            <w:tcW w:w="3053" w:type="dxa"/>
            <w:vAlign w:val="center"/>
          </w:tcPr>
          <w:p>
            <w:pPr>
              <w:pStyle w:val="99"/>
              <w:numPr>
                <w:ilvl w:val="0"/>
                <w:numId w:val="0"/>
              </w:numPr>
              <w:spacing w:before="156" w:after="156"/>
              <w:rPr>
                <w:rFonts w:hAnsi="黑体"/>
                <w:color w:val="000000" w:themeColor="text1"/>
                <w14:textFill>
                  <w14:solidFill>
                    <w14:schemeClr w14:val="tx1"/>
                  </w14:solidFill>
                </w14:textFill>
              </w:rPr>
            </w:pPr>
            <w:r>
              <w:rPr>
                <w:rFonts w:hint="eastAsia" w:hAnsi="黑体"/>
                <w:color w:val="000000" w:themeColor="text1"/>
                <w14:textFill>
                  <w14:solidFill>
                    <w14:schemeClr w14:val="tx1"/>
                  </w14:solidFill>
                </w14:textFill>
              </w:rPr>
              <w:t>c</w:t>
            </w:r>
            <w:r>
              <w:rPr>
                <w:rFonts w:hAnsi="黑体"/>
                <w:color w:val="000000" w:themeColor="text1"/>
                <w14:textFill>
                  <w14:solidFill>
                    <w14:schemeClr w14:val="tx1"/>
                  </w14:solidFill>
                </w14:textFill>
              </w:rPr>
              <w:t xml:space="preserve">) </w:t>
            </w:r>
            <w:r>
              <w:rPr>
                <w:rFonts w:hint="eastAsia" w:hAnsi="黑体"/>
                <w:color w:val="000000" w:themeColor="text1"/>
                <w14:textFill>
                  <w14:solidFill>
                    <w14:schemeClr w14:val="tx1"/>
                  </w14:solidFill>
                </w14:textFill>
              </w:rPr>
              <w:t>圆柱形电池</w:t>
            </w:r>
            <w:r>
              <w:rPr>
                <w:rFonts w:hAnsi="黑体"/>
                <w:color w:val="000000" w:themeColor="text1"/>
                <w14:textFill>
                  <w14:solidFill>
                    <w14:schemeClr w14:val="tx1"/>
                  </w14:solidFill>
                </w14:textFill>
              </w:rPr>
              <w:t>-II</w:t>
            </w:r>
          </w:p>
        </w:tc>
      </w:tr>
    </w:tbl>
    <w:p>
      <w:pPr>
        <w:pStyle w:val="23"/>
        <w:ind w:firstLine="630" w:firstLineChars="350"/>
        <w:rPr>
          <w:sz w:val="18"/>
          <w:szCs w:val="18"/>
        </w:rPr>
      </w:pPr>
      <w:r>
        <w:rPr>
          <w:rFonts w:hint="eastAsia"/>
          <w:sz w:val="18"/>
          <w:szCs w:val="18"/>
        </w:rPr>
        <w:t>说明：</w:t>
      </w:r>
    </w:p>
    <w:p>
      <w:pPr>
        <w:pStyle w:val="23"/>
        <w:ind w:firstLine="735" w:firstLineChars="350"/>
        <w:rPr>
          <w:sz w:val="18"/>
          <w:szCs w:val="18"/>
        </w:rPr>
      </w:pPr>
      <w:r>
        <w:rPr>
          <w:rFonts w:ascii="Times New Roman"/>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227330</wp:posOffset>
                </wp:positionH>
                <wp:positionV relativeFrom="paragraph">
                  <wp:posOffset>52070</wp:posOffset>
                </wp:positionV>
                <wp:extent cx="1975485" cy="723900"/>
                <wp:effectExtent l="0" t="0" r="24765" b="19050"/>
                <wp:wrapNone/>
                <wp:docPr id="204" name="文本框 204"/>
                <wp:cNvGraphicFramePr/>
                <a:graphic xmlns:a="http://schemas.openxmlformats.org/drawingml/2006/main">
                  <a:graphicData uri="http://schemas.microsoft.com/office/word/2010/wordprocessingShape">
                    <wps:wsp>
                      <wps:cNvSpPr txBox="1">
                        <a:spLocks noChangeArrowheads="1"/>
                      </wps:cNvSpPr>
                      <wps:spPr bwMode="auto">
                        <a:xfrm>
                          <a:off x="0" y="0"/>
                          <a:ext cx="1975485" cy="723900"/>
                        </a:xfrm>
                        <a:prstGeom prst="rect">
                          <a:avLst/>
                        </a:prstGeom>
                        <a:solidFill>
                          <a:srgbClr val="FFFFFF"/>
                        </a:solidFill>
                        <a:ln w="6350">
                          <a:solidFill>
                            <a:srgbClr val="000000"/>
                          </a:solidFill>
                          <a:miter lim="800000"/>
                        </a:ln>
                      </wps:spPr>
                      <wps:txbx>
                        <w:txbxContent>
                          <w:p>
                            <w:pPr>
                              <w:spacing w:line="264" w:lineRule="auto"/>
                              <w:rPr>
                                <w:sz w:val="18"/>
                                <w:szCs w:val="18"/>
                              </w:rPr>
                            </w:pPr>
                            <w:r>
                              <w:rPr>
                                <w:rFonts w:hint="eastAsia"/>
                              </w:rPr>
                              <w:t xml:space="preserve">           </w:t>
                            </w:r>
                            <w:r>
                              <w:rPr>
                                <w:rFonts w:hint="eastAsia"/>
                                <w:sz w:val="18"/>
                                <w:szCs w:val="18"/>
                              </w:rPr>
                              <w:t>加热装置</w:t>
                            </w:r>
                          </w:p>
                          <w:p>
                            <w:pPr>
                              <w:spacing w:line="264" w:lineRule="auto"/>
                              <w:rPr>
                                <w:sz w:val="18"/>
                                <w:szCs w:val="18"/>
                              </w:rPr>
                            </w:pPr>
                            <w:r>
                              <w:rPr>
                                <w:rFonts w:hint="eastAsia"/>
                                <w:sz w:val="18"/>
                                <w:szCs w:val="18"/>
                              </w:rPr>
                              <w:t xml:space="preserve">           加热装置(电阻丝)</w:t>
                            </w:r>
                          </w:p>
                          <w:p>
                            <w:pPr>
                              <w:pStyle w:val="146"/>
                              <w:spacing w:line="264" w:lineRule="auto"/>
                              <w:ind w:left="420" w:firstLine="360"/>
                              <w:rPr>
                                <w:sz w:val="18"/>
                                <w:szCs w:val="18"/>
                              </w:rPr>
                            </w:pPr>
                            <w:r>
                              <w:rPr>
                                <w:rFonts w:hint="eastAsia"/>
                                <w:sz w:val="18"/>
                                <w:szCs w:val="18"/>
                              </w:rPr>
                              <w:t xml:space="preserve">   温度监测器</w:t>
                            </w:r>
                          </w:p>
                          <w:p>
                            <w:pPr>
                              <w:pStyle w:val="146"/>
                              <w:spacing w:before="156" w:after="156"/>
                              <w:ind w:left="420" w:firstLine="0" w:firstLineChars="0"/>
                            </w:pPr>
                            <w:r>
                              <w:rPr>
                                <w:rFonts w:hint="eastAsia"/>
                              </w:rPr>
                              <w:t xml:space="preserve">       连接</w:t>
                            </w:r>
                          </w:p>
                          <w:p>
                            <w:pPr>
                              <w:pStyle w:val="146"/>
                              <w:spacing w:before="156" w:after="156"/>
                              <w:ind w:left="420" w:firstLine="0" w:firstLineChars="0"/>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7.9pt;margin-top:4.1pt;height:57pt;width:155.55pt;z-index:251667456;mso-width-relative:page;mso-height-relative:page;" fillcolor="#FFFFFF" filled="t" stroked="t" coordsize="21600,21600" o:gfxdata="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F4ea/VAAAACAEAAA8AAAAAAAAAAQAgAAAAIgAA&#10;AGRycy9kb3ducmV2LnhtbFBLAQIUABQAAAAIAIdO4kB+AaG1RAIAAIsEAAAOAAAAAAAAAAEAIAAA&#10;ACQBAABkcnMvZTJvRG9jLnhtbFBLBQYAAAAABgAGAFkBAADaBQAAAAA=&#10;">
                <v:fill on="t" focussize="0,0"/>
                <v:stroke weight="0.5pt" color="#000000" miterlimit="8" joinstyle="miter"/>
                <v:imagedata o:title=""/>
                <o:lock v:ext="edit" aspectratio="f"/>
                <v:textbox>
                  <w:txbxContent>
                    <w:p>
                      <w:pPr>
                        <w:spacing w:line="264" w:lineRule="auto"/>
                        <w:rPr>
                          <w:sz w:val="18"/>
                          <w:szCs w:val="18"/>
                        </w:rPr>
                      </w:pPr>
                      <w:r>
                        <w:rPr>
                          <w:rFonts w:hint="eastAsia"/>
                        </w:rPr>
                        <w:t xml:space="preserve">           </w:t>
                      </w:r>
                      <w:r>
                        <w:rPr>
                          <w:rFonts w:hint="eastAsia"/>
                          <w:sz w:val="18"/>
                          <w:szCs w:val="18"/>
                        </w:rPr>
                        <w:t>加热装置</w:t>
                      </w:r>
                    </w:p>
                    <w:p>
                      <w:pPr>
                        <w:spacing w:line="264" w:lineRule="auto"/>
                        <w:rPr>
                          <w:sz w:val="18"/>
                          <w:szCs w:val="18"/>
                        </w:rPr>
                      </w:pPr>
                      <w:r>
                        <w:rPr>
                          <w:rFonts w:hint="eastAsia"/>
                          <w:sz w:val="18"/>
                          <w:szCs w:val="18"/>
                        </w:rPr>
                        <w:t xml:space="preserve">           加热装置(电阻丝)</w:t>
                      </w:r>
                    </w:p>
                    <w:p>
                      <w:pPr>
                        <w:pStyle w:val="146"/>
                        <w:spacing w:line="264" w:lineRule="auto"/>
                        <w:ind w:left="420" w:firstLine="360"/>
                        <w:rPr>
                          <w:sz w:val="18"/>
                          <w:szCs w:val="18"/>
                        </w:rPr>
                      </w:pPr>
                      <w:r>
                        <w:rPr>
                          <w:rFonts w:hint="eastAsia"/>
                          <w:sz w:val="18"/>
                          <w:szCs w:val="18"/>
                        </w:rPr>
                        <w:t xml:space="preserve">   温度监测器</w:t>
                      </w:r>
                    </w:p>
                    <w:p>
                      <w:pPr>
                        <w:pStyle w:val="146"/>
                        <w:spacing w:before="156" w:after="156"/>
                        <w:ind w:left="420" w:firstLine="0" w:firstLineChars="0"/>
                      </w:pPr>
                      <w:r>
                        <w:rPr>
                          <w:rFonts w:hint="eastAsia"/>
                        </w:rPr>
                        <w:t xml:space="preserve">       连接</w:t>
                      </w:r>
                    </w:p>
                    <w:p>
                      <w:pPr>
                        <w:pStyle w:val="146"/>
                        <w:spacing w:before="156" w:after="156"/>
                        <w:ind w:left="420" w:firstLine="0" w:firstLineChars="0"/>
                      </w:pPr>
                    </w:p>
                  </w:txbxContent>
                </v:textbox>
              </v:shape>
            </w:pict>
          </mc:Fallback>
        </mc:AlternateContent>
      </w:r>
      <w:r>
        <w:rPr>
          <w:rFonts w:ascii="Times New Roman"/>
          <w:color w:val="000000" w:themeColor="text1"/>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379095</wp:posOffset>
                </wp:positionH>
                <wp:positionV relativeFrom="paragraph">
                  <wp:posOffset>144145</wp:posOffset>
                </wp:positionV>
                <wp:extent cx="360680" cy="125095"/>
                <wp:effectExtent l="0" t="0" r="20320" b="27305"/>
                <wp:wrapNone/>
                <wp:docPr id="205" name="矩形 205"/>
                <wp:cNvGraphicFramePr/>
                <a:graphic xmlns:a="http://schemas.openxmlformats.org/drawingml/2006/main">
                  <a:graphicData uri="http://schemas.microsoft.com/office/word/2010/wordprocessingShape">
                    <wps:wsp>
                      <wps:cNvSpPr>
                        <a:spLocks noChangeArrowheads="1"/>
                      </wps:cNvSpPr>
                      <wps:spPr bwMode="auto">
                        <a:xfrm>
                          <a:off x="0" y="0"/>
                          <a:ext cx="360680" cy="125095"/>
                        </a:xfrm>
                        <a:prstGeom prst="rect">
                          <a:avLst/>
                        </a:prstGeom>
                        <a:solidFill>
                          <a:srgbClr val="000000"/>
                        </a:solidFill>
                        <a:ln w="25400">
                          <a:solidFill>
                            <a:srgbClr val="000000"/>
                          </a:solidFill>
                          <a:miter lim="800000"/>
                        </a:ln>
                      </wps:spPr>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29.85pt;margin-top:11.35pt;height:9.85pt;width:28.4pt;z-index:251669504;v-text-anchor:middle;mso-width-relative:page;mso-height-relative:page;" fillcolor="#000000" filled="t" stroked="t" coordsize="21600,21600" o:gfxdata="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9uKaL1wAAAAgBAAAPAAAAAAAAAAEAIAAAACIAAABkcnMvZG93bnJldi54bWxQ&#10;SwECFAAUAAAACACHTuJA8M8ENDECAAB1BAAADgAAAAAAAAABACAAAAAmAQAAZHJzL2Uyb0RvYy54&#10;bWxQSwUGAAAAAAYABgBZAQAAyQUAAAAA&#10;">
                <v:fill on="t" focussize="0,0"/>
                <v:stroke weight="2pt" color="#000000" miterlimit="8" joinstyle="miter"/>
                <v:imagedata o:title=""/>
                <o:lock v:ext="edit" aspectratio="f"/>
              </v:rect>
            </w:pict>
          </mc:Fallback>
        </mc:AlternateContent>
      </w:r>
    </w:p>
    <w:p>
      <w:pPr>
        <w:pStyle w:val="23"/>
        <w:ind w:firstLine="735" w:firstLineChars="350"/>
        <w:rPr>
          <w:sz w:val="18"/>
          <w:szCs w:val="18"/>
        </w:rPr>
      </w:pPr>
      <w:r>
        <mc:AlternateContent>
          <mc:Choice Requires="wps">
            <w:drawing>
              <wp:anchor distT="0" distB="0" distL="114300" distR="114300" simplePos="0" relativeHeight="251673600" behindDoc="0" locked="0" layoutInCell="1" allowOverlap="1">
                <wp:simplePos x="0" y="0"/>
                <wp:positionH relativeFrom="column">
                  <wp:posOffset>414655</wp:posOffset>
                </wp:positionH>
                <wp:positionV relativeFrom="paragraph">
                  <wp:posOffset>171450</wp:posOffset>
                </wp:positionV>
                <wp:extent cx="290830" cy="127635"/>
                <wp:effectExtent l="19050" t="19050" r="13970" b="24765"/>
                <wp:wrapNone/>
                <wp:docPr id="209" name="任意多边形: 形状 209"/>
                <wp:cNvGraphicFramePr/>
                <a:graphic xmlns:a="http://schemas.openxmlformats.org/drawingml/2006/main">
                  <a:graphicData uri="http://schemas.microsoft.com/office/word/2010/wordprocessingShape">
                    <wps:wsp>
                      <wps:cNvSpPr/>
                      <wps:spPr>
                        <a:xfrm>
                          <a:off x="0" y="0"/>
                          <a:ext cx="290830" cy="127635"/>
                        </a:xfrm>
                        <a:custGeom>
                          <a:avLst/>
                          <a:gdLst>
                            <a:gd name="connsiteX0" fmla="*/ 253685 w 290622"/>
                            <a:gd name="connsiteY0" fmla="*/ 0 h 127635"/>
                            <a:gd name="connsiteX1" fmla="*/ 282260 w 290622"/>
                            <a:gd name="connsiteY1" fmla="*/ 43815 h 127635"/>
                            <a:gd name="connsiteX2" fmla="*/ 122240 w 290622"/>
                            <a:gd name="connsiteY2" fmla="*/ 74295 h 127635"/>
                            <a:gd name="connsiteX3" fmla="*/ 6035 w 290622"/>
                            <a:gd name="connsiteY3" fmla="*/ 97155 h 127635"/>
                            <a:gd name="connsiteX4" fmla="*/ 26990 w 290622"/>
                            <a:gd name="connsiteY4" fmla="*/ 127635 h 1276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0622" h="127635">
                              <a:moveTo>
                                <a:pt x="253685" y="0"/>
                              </a:moveTo>
                              <a:cubicBezTo>
                                <a:pt x="278926" y="15716"/>
                                <a:pt x="304168" y="31433"/>
                                <a:pt x="282260" y="43815"/>
                              </a:cubicBezTo>
                              <a:cubicBezTo>
                                <a:pt x="260353" y="56198"/>
                                <a:pt x="122240" y="74295"/>
                                <a:pt x="122240" y="74295"/>
                              </a:cubicBezTo>
                              <a:cubicBezTo>
                                <a:pt x="76202" y="83185"/>
                                <a:pt x="21910" y="88265"/>
                                <a:pt x="6035" y="97155"/>
                              </a:cubicBezTo>
                              <a:cubicBezTo>
                                <a:pt x="-9840" y="106045"/>
                                <a:pt x="8575" y="116840"/>
                                <a:pt x="26990" y="127635"/>
                              </a:cubicBezTo>
                            </a:path>
                          </a:pathLst>
                        </a:custGeom>
                        <a:noFill/>
                        <a:ln w="381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209" o:spid="_x0000_s1026" o:spt="100" style="position:absolute;left:0pt;margin-left:32.65pt;margin-top:13.5pt;height:10.05pt;width:22.9pt;z-index:251673600;v-text-anchor:middle;mso-width-relative:page;mso-height-relative:page;" filled="f" stroked="t" coordsize="290622,127635" o:gfxdata="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" path="m253685,0c278926,15716,304168,31433,282260,43815c260353,56198,122240,74295,122240,74295c76202,83185,21910,88265,6035,97155c-9840,106045,8575,116840,26990,127635e">
                <v:path o:connectlocs="253866,0;282462,43815;122327,74295;6039,97155;27009,127635" o:connectangles="0,0,0,0,0"/>
                <v:fill on="f" focussize="0,0"/>
                <v:stroke weight="3pt" color="#7F7F7F [1612]" joinstyle="round"/>
                <v:imagedata o:title=""/>
                <o:lock v:ext="edit" aspectratio="f"/>
              </v:shape>
            </w:pict>
          </mc:Fallback>
        </mc:AlternateContent>
      </w:r>
    </w:p>
    <w:p>
      <w:pPr>
        <w:pStyle w:val="23"/>
        <w:ind w:firstLine="630" w:firstLineChars="350"/>
        <w:rPr>
          <w:sz w:val="18"/>
          <w:szCs w:val="18"/>
        </w:rPr>
      </w:pPr>
    </w:p>
    <w:p>
      <w:pPr>
        <w:pStyle w:val="23"/>
        <w:ind w:firstLine="0" w:firstLineChars="0"/>
        <w:rPr>
          <w:sz w:val="18"/>
          <w:szCs w:val="18"/>
        </w:rPr>
      </w:pPr>
      <w:r>
        <w:rPr>
          <w:sz w:val="18"/>
          <w:szCs w:val="18"/>
        </w:rPr>
        <mc:AlternateContent>
          <mc:Choice Requires="wps">
            <w:drawing>
              <wp:anchor distT="0" distB="0" distL="114300" distR="114300" simplePos="0" relativeHeight="251671552" behindDoc="0" locked="0" layoutInCell="1" allowOverlap="1">
                <wp:simplePos x="0" y="0"/>
                <wp:positionH relativeFrom="column">
                  <wp:posOffset>511810</wp:posOffset>
                </wp:positionH>
                <wp:positionV relativeFrom="paragraph">
                  <wp:posOffset>17145</wp:posOffset>
                </wp:positionV>
                <wp:extent cx="71120" cy="71120"/>
                <wp:effectExtent l="0" t="0" r="24130" b="24130"/>
                <wp:wrapNone/>
                <wp:docPr id="211" name="椭圆 211"/>
                <wp:cNvGraphicFramePr/>
                <a:graphic xmlns:a="http://schemas.openxmlformats.org/drawingml/2006/main">
                  <a:graphicData uri="http://schemas.microsoft.com/office/word/2010/wordprocessingShape">
                    <wps:wsp>
                      <wps:cNvSpPr>
                        <a:spLocks noChangeArrowheads="1"/>
                      </wps:cNvSpPr>
                      <wps:spPr bwMode="auto">
                        <a:xfrm>
                          <a:off x="0" y="0"/>
                          <a:ext cx="71120" cy="71120"/>
                        </a:xfrm>
                        <a:prstGeom prst="ellipse">
                          <a:avLst/>
                        </a:prstGeom>
                        <a:solidFill>
                          <a:srgbClr val="000000"/>
                        </a:solidFill>
                        <a:ln w="25400">
                          <a:solidFill>
                            <a:srgbClr val="000000"/>
                          </a:solidFill>
                          <a:round/>
                        </a:ln>
                      </wps:spPr>
                      <wps:bodyPr rot="0" vert="horz" wrap="square" lIns="91440" tIns="45720" rIns="91440" bIns="45720" anchor="ctr" anchorCtr="0" upright="1">
                        <a:noAutofit/>
                      </wps:bodyPr>
                    </wps:wsp>
                  </a:graphicData>
                </a:graphic>
              </wp:anchor>
            </w:drawing>
          </mc:Choice>
          <mc:Fallback>
            <w:pict>
              <v:shape id="_x0000_s1026" o:spid="_x0000_s1026" o:spt="3" type="#_x0000_t3" style="position:absolute;left:0pt;margin-left:40.3pt;margin-top:1.35pt;height:5.6pt;width:5.6pt;z-index:251671552;v-text-anchor:middle;mso-width-relative:page;mso-height-relative:page;" fillcolor="#000000" filled="t" stroked="t" coordsize="21600,21600" o:gfxdata="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7&#10;C85l1QAAAAYBAAAPAAAAAAAAAAEAIAAAACIAAABkcnMvZG93bnJldi54bWxQSwECFAAUAAAACACH&#10;TuJAoOgUKicCAABpBAAADgAAAAAAAAABACAAAAAkAQAAZHJzL2Uyb0RvYy54bWxQSwUGAAAAAAYA&#10;BgBZAQAAvQUAAAAA&#10;">
                <v:fill on="t" focussize="0,0"/>
                <v:stroke weight="2pt" color="#000000" joinstyle="round"/>
                <v:imagedata o:title=""/>
                <o:lock v:ext="edit" aspectratio="f"/>
              </v:shape>
            </w:pict>
          </mc:Fallback>
        </mc:AlternateContent>
      </w:r>
    </w:p>
    <w:p>
      <w:pPr>
        <w:spacing w:before="156" w:beforeLines="50" w:after="156" w:afterLines="50"/>
        <w:jc w:val="center"/>
        <w:rPr>
          <w:rFonts w:ascii="黑体" w:hAnsi="黑体" w:eastAsia="黑体"/>
        </w:rPr>
      </w:pPr>
      <w:r>
        <w:rPr>
          <w:rFonts w:hint="eastAsia" w:ascii="黑体" w:hAnsi="黑体" w:eastAsia="黑体"/>
        </w:rPr>
        <w:t>图</w:t>
      </w:r>
      <w:r>
        <w:rPr>
          <w:rFonts w:ascii="黑体" w:hAnsi="黑体" w:eastAsia="黑体"/>
        </w:rPr>
        <w:t>C.</w:t>
      </w:r>
      <w:r>
        <w:rPr>
          <w:rFonts w:hint="eastAsia" w:ascii="黑体" w:hAnsi="黑体" w:eastAsia="黑体"/>
        </w:rPr>
        <w:t>4</w:t>
      </w:r>
      <w:r>
        <w:rPr>
          <w:rFonts w:ascii="黑体" w:hAnsi="黑体" w:eastAsia="黑体"/>
        </w:rPr>
        <w:t xml:space="preserve"> </w:t>
      </w:r>
      <w:r>
        <w:rPr>
          <w:rFonts w:hint="eastAsia" w:ascii="黑体" w:hAnsi="黑体" w:eastAsia="黑体"/>
        </w:rPr>
        <w:t>外部加热触发时温度传感器的布置位置示意图</w:t>
      </w:r>
    </w:p>
    <w:p>
      <w:pPr>
        <w:pStyle w:val="102"/>
        <w:numPr>
          <w:ilvl w:val="0"/>
          <w:numId w:val="0"/>
        </w:numPr>
        <w:spacing w:beforeLines="0" w:after="156" w:afterLines="50"/>
        <w:ind w:left="780"/>
        <w:outlineLvl w:val="9"/>
        <w:rPr>
          <w:rFonts w:ascii="Times New Roman" w:eastAsia="宋体"/>
          <w:szCs w:val="21"/>
        </w:rPr>
      </w:pPr>
    </w:p>
    <w:tbl>
      <w:tblPr>
        <w:tblStyle w:val="33"/>
        <w:tblW w:w="9159" w:type="dxa"/>
        <w:jc w:val="center"/>
        <w:tblLayout w:type="fixed"/>
        <w:tblCellMar>
          <w:top w:w="0" w:type="dxa"/>
          <w:left w:w="108" w:type="dxa"/>
          <w:bottom w:w="0" w:type="dxa"/>
          <w:right w:w="108" w:type="dxa"/>
        </w:tblCellMar>
      </w:tblPr>
      <w:tblGrid>
        <w:gridCol w:w="4579"/>
        <w:gridCol w:w="4580"/>
      </w:tblGrid>
      <w:tr>
        <w:tblPrEx>
          <w:tblCellMar>
            <w:top w:w="0" w:type="dxa"/>
            <w:left w:w="108" w:type="dxa"/>
            <w:bottom w:w="0" w:type="dxa"/>
            <w:right w:w="108" w:type="dxa"/>
          </w:tblCellMar>
        </w:tblPrEx>
        <w:trPr>
          <w:jc w:val="center"/>
        </w:trPr>
        <w:tc>
          <w:tcPr>
            <w:tcW w:w="4579" w:type="dxa"/>
            <w:vMerge w:val="restart"/>
            <w:vAlign w:val="center"/>
          </w:tcPr>
          <w:p>
            <w:pPr>
              <w:pStyle w:val="104"/>
              <w:numPr>
                <w:ilvl w:val="0"/>
                <w:numId w:val="0"/>
              </w:numPr>
              <w:spacing w:line="36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drawing>
                <wp:inline distT="0" distB="0" distL="0" distR="0">
                  <wp:extent cx="971550" cy="697865"/>
                  <wp:effectExtent l="0" t="0" r="0" b="6985"/>
                  <wp:docPr id="2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
                          <pic:cNvPicPr>
                            <a:picLocks noChangeAspect="1"/>
                          </pic:cNvPicPr>
                        </pic:nvPicPr>
                        <pic:blipFill>
                          <a:blip r:embed="rId36"/>
                          <a:stretch>
                            <a:fillRect/>
                          </a:stretch>
                        </pic:blipFill>
                        <pic:spPr>
                          <a:xfrm>
                            <a:off x="0" y="0"/>
                            <a:ext cx="972000" cy="697908"/>
                          </a:xfrm>
                          <a:prstGeom prst="rect">
                            <a:avLst/>
                          </a:prstGeom>
                        </pic:spPr>
                      </pic:pic>
                    </a:graphicData>
                  </a:graphic>
                </wp:inline>
              </w:drawing>
            </w:r>
          </w:p>
          <w:p>
            <w:pPr>
              <w:pStyle w:val="99"/>
              <w:numPr>
                <w:ilvl w:val="0"/>
                <w:numId w:val="0"/>
              </w:numPr>
              <w:spacing w:before="156" w:after="156"/>
              <w:ind w:firstLine="1470" w:firstLineChars="700"/>
              <w:jc w:val="both"/>
              <w:rPr>
                <w:rFonts w:ascii="Times New Roman"/>
                <w:color w:val="000000" w:themeColor="text1"/>
                <w14:textFill>
                  <w14:solidFill>
                    <w14:schemeClr w14:val="tx1"/>
                  </w14:solidFill>
                </w14:textFill>
              </w:rPr>
            </w:pPr>
            <w:r>
              <w:rPr>
                <w:rFonts w:hAnsi="黑体"/>
                <w:color w:val="000000" w:themeColor="text1"/>
                <w14:textFill>
                  <w14:solidFill>
                    <w14:schemeClr w14:val="tx1"/>
                  </w14:solidFill>
                </w14:textFill>
              </w:rPr>
              <w:t xml:space="preserve">a) </w:t>
            </w:r>
            <w:r>
              <w:rPr>
                <w:rFonts w:hint="eastAsia" w:hAnsi="黑体"/>
                <w:color w:val="000000" w:themeColor="text1"/>
                <w14:textFill>
                  <w14:solidFill>
                    <w14:schemeClr w14:val="tx1"/>
                  </w14:solidFill>
                </w14:textFill>
              </w:rPr>
              <w:t>硬壳电池</w:t>
            </w:r>
          </w:p>
        </w:tc>
        <w:tc>
          <w:tcPr>
            <w:tcW w:w="4580" w:type="dxa"/>
            <w:vAlign w:val="center"/>
          </w:tcPr>
          <w:p>
            <w:pPr>
              <w:pStyle w:val="104"/>
              <w:numPr>
                <w:ilvl w:val="0"/>
                <w:numId w:val="0"/>
              </w:numPr>
              <w:spacing w:line="36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drawing>
                <wp:inline distT="0" distB="0" distL="0" distR="0">
                  <wp:extent cx="791845" cy="772795"/>
                  <wp:effectExtent l="0" t="0" r="8255" b="8255"/>
                  <wp:docPr id="2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8"/>
                          <pic:cNvPicPr>
                            <a:picLocks noChangeAspect="1"/>
                          </pic:cNvPicPr>
                        </pic:nvPicPr>
                        <pic:blipFill>
                          <a:blip r:embed="rId37"/>
                          <a:srcRect b="-4421"/>
                          <a:stretch>
                            <a:fillRect/>
                          </a:stretch>
                        </pic:blipFill>
                        <pic:spPr>
                          <a:xfrm>
                            <a:off x="0" y="0"/>
                            <a:ext cx="792000" cy="773372"/>
                          </a:xfrm>
                          <a:prstGeom prst="rect">
                            <a:avLst/>
                          </a:prstGeom>
                          <a:ln>
                            <a:noFill/>
                          </a:ln>
                        </pic:spPr>
                      </pic:pic>
                    </a:graphicData>
                  </a:graphic>
                </wp:inline>
              </w:drawing>
            </w:r>
          </w:p>
        </w:tc>
      </w:tr>
      <w:tr>
        <w:tblPrEx>
          <w:tblCellMar>
            <w:top w:w="0" w:type="dxa"/>
            <w:left w:w="108" w:type="dxa"/>
            <w:bottom w:w="0" w:type="dxa"/>
            <w:right w:w="108" w:type="dxa"/>
          </w:tblCellMar>
        </w:tblPrEx>
        <w:trPr>
          <w:jc w:val="center"/>
        </w:trPr>
        <w:tc>
          <w:tcPr>
            <w:tcW w:w="4579" w:type="dxa"/>
            <w:vMerge w:val="continue"/>
            <w:vAlign w:val="center"/>
          </w:tcPr>
          <w:p>
            <w:pPr>
              <w:pStyle w:val="99"/>
              <w:numPr>
                <w:ilvl w:val="0"/>
                <w:numId w:val="0"/>
              </w:numPr>
              <w:spacing w:before="156" w:after="156"/>
              <w:rPr>
                <w:rFonts w:hAnsi="黑体"/>
                <w:color w:val="000000" w:themeColor="text1"/>
                <w14:textFill>
                  <w14:solidFill>
                    <w14:schemeClr w14:val="tx1"/>
                  </w14:solidFill>
                </w14:textFill>
              </w:rPr>
            </w:pPr>
          </w:p>
        </w:tc>
        <w:tc>
          <w:tcPr>
            <w:tcW w:w="4580" w:type="dxa"/>
            <w:vAlign w:val="center"/>
          </w:tcPr>
          <w:p>
            <w:pPr>
              <w:pStyle w:val="99"/>
              <w:numPr>
                <w:ilvl w:val="0"/>
                <w:numId w:val="0"/>
              </w:numPr>
              <w:spacing w:before="156" w:after="156"/>
              <w:ind w:firstLine="1260" w:firstLineChars="600"/>
              <w:jc w:val="both"/>
              <w:rPr>
                <w:rFonts w:hAnsi="黑体"/>
                <w:color w:val="000000" w:themeColor="text1"/>
                <w14:textFill>
                  <w14:solidFill>
                    <w14:schemeClr w14:val="tx1"/>
                  </w14:solidFill>
                </w14:textFill>
              </w:rPr>
            </w:pPr>
            <w:r>
              <w:rPr>
                <w:rFonts w:hint="eastAsia" w:hAnsi="黑体"/>
                <w:color w:val="000000" w:themeColor="text1"/>
                <w14:textFill>
                  <w14:solidFill>
                    <w14:schemeClr w14:val="tx1"/>
                  </w14:solidFill>
                </w14:textFill>
              </w:rPr>
              <w:t>b</w:t>
            </w:r>
            <w:r>
              <w:rPr>
                <w:rFonts w:hAnsi="黑体"/>
                <w:color w:val="000000" w:themeColor="text1"/>
                <w14:textFill>
                  <w14:solidFill>
                    <w14:schemeClr w14:val="tx1"/>
                  </w14:solidFill>
                </w14:textFill>
              </w:rPr>
              <w:t xml:space="preserve">) </w:t>
            </w:r>
            <w:r>
              <w:rPr>
                <w:rFonts w:hint="eastAsia" w:hAnsi="黑体"/>
                <w:color w:val="000000" w:themeColor="text1"/>
                <w14:textFill>
                  <w14:solidFill>
                    <w14:schemeClr w14:val="tx1"/>
                  </w14:solidFill>
                </w14:textFill>
              </w:rPr>
              <w:t>圆柱形电池</w:t>
            </w:r>
          </w:p>
        </w:tc>
      </w:tr>
    </w:tbl>
    <w:p>
      <w:pPr>
        <w:pStyle w:val="23"/>
        <w:ind w:firstLine="630" w:firstLineChars="350"/>
        <w:rPr>
          <w:rFonts w:ascii="Times New Roman"/>
          <w:sz w:val="18"/>
          <w:szCs w:val="18"/>
        </w:rPr>
      </w:pPr>
    </w:p>
    <w:p>
      <w:pPr>
        <w:spacing w:before="156" w:beforeLines="50" w:after="156" w:afterLines="50"/>
        <w:jc w:val="center"/>
        <w:rPr>
          <w:rFonts w:ascii="黑体" w:hAnsi="黑体" w:eastAsia="黑体"/>
        </w:rPr>
      </w:pPr>
      <w:r>
        <w:rPr>
          <w:rFonts w:ascii="黑体" w:hAnsi="黑体" w:eastAsia="黑体"/>
        </w:rPr>
        <w:t>图</w:t>
      </w:r>
      <w:r>
        <w:rPr>
          <w:rFonts w:hint="eastAsia" w:ascii="黑体" w:hAnsi="黑体" w:eastAsia="黑体"/>
        </w:rPr>
        <w:t>C</w:t>
      </w:r>
      <w:r>
        <w:rPr>
          <w:rFonts w:ascii="黑体" w:hAnsi="黑体" w:eastAsia="黑体"/>
        </w:rPr>
        <w:t>.</w:t>
      </w:r>
      <w:r>
        <w:rPr>
          <w:rFonts w:hint="eastAsia" w:ascii="黑体" w:hAnsi="黑体" w:eastAsia="黑体"/>
        </w:rPr>
        <w:t>5</w:t>
      </w:r>
      <w:r>
        <w:rPr>
          <w:rFonts w:ascii="黑体" w:hAnsi="黑体" w:eastAsia="黑体"/>
        </w:rPr>
        <w:t xml:space="preserve"> </w:t>
      </w:r>
      <w:r>
        <w:rPr>
          <w:rFonts w:hint="eastAsia" w:ascii="黑体" w:hAnsi="黑体" w:eastAsia="黑体"/>
        </w:rPr>
        <w:t>内部</w:t>
      </w:r>
      <w:r>
        <w:rPr>
          <w:rFonts w:ascii="黑体" w:hAnsi="黑体" w:eastAsia="黑体"/>
        </w:rPr>
        <w:t>加热触发时温度传感器的布置位置示意图</w:t>
      </w:r>
    </w:p>
    <w:p>
      <w:pPr>
        <w:spacing w:before="156" w:beforeLines="50" w:after="156" w:afterLines="50"/>
        <w:jc w:val="center"/>
        <w:rPr>
          <w:rFonts w:ascii="黑体" w:hAnsi="黑体" w:eastAsia="黑体"/>
        </w:rPr>
      </w:pPr>
    </w:p>
    <w:p>
      <w:pPr>
        <w:pStyle w:val="88"/>
        <w:spacing w:before="156" w:after="156"/>
        <w:rPr>
          <w:rFonts w:ascii="Times New Roman" w:eastAsiaTheme="minorEastAsia"/>
        </w:rPr>
      </w:pPr>
      <w:r>
        <w:rPr>
          <w:rFonts w:hint="eastAsia" w:ascii="Times New Roman" w:eastAsiaTheme="minorEastAsia"/>
        </w:rPr>
        <w:t>推荐的</w:t>
      </w:r>
      <w:r>
        <w:rPr>
          <w:rFonts w:ascii="Times New Roman" w:eastAsiaTheme="minorEastAsia"/>
        </w:rPr>
        <w:t>热失控触发判定条件</w:t>
      </w:r>
      <w:r>
        <w:rPr>
          <w:rFonts w:hint="eastAsia" w:asciiTheme="minorEastAsia" w:hAnsiTheme="minorEastAsia" w:eastAsiaTheme="minorEastAsia"/>
        </w:rPr>
        <w:t>：</w:t>
      </w:r>
    </w:p>
    <w:p>
      <w:pPr>
        <w:pStyle w:val="102"/>
        <w:numPr>
          <w:ilvl w:val="0"/>
          <w:numId w:val="41"/>
        </w:numPr>
        <w:spacing w:beforeLines="0" w:afterLines="0"/>
        <w:outlineLvl w:val="9"/>
        <w:rPr>
          <w:rFonts w:ascii="Times New Roman" w:eastAsia="宋体"/>
          <w:szCs w:val="21"/>
        </w:rPr>
      </w:pPr>
      <w:r>
        <w:rPr>
          <w:rFonts w:ascii="Times New Roman" w:eastAsia="宋体"/>
          <w:szCs w:val="21"/>
        </w:rPr>
        <w:t>触发对象产生电压降</w:t>
      </w:r>
      <w:r>
        <w:rPr>
          <w:rFonts w:hint="eastAsia" w:ascii="Times New Roman" w:eastAsia="宋体"/>
          <w:szCs w:val="21"/>
        </w:rPr>
        <w:t>，且下降值</w:t>
      </w:r>
      <w:r>
        <w:rPr>
          <w:rFonts w:ascii="Times New Roman" w:eastAsia="宋体"/>
          <w:szCs w:val="21"/>
        </w:rPr>
        <w:t>超过初始电压的</w:t>
      </w:r>
      <w:r>
        <w:rPr>
          <w:rFonts w:hint="eastAsia" w:ascii="Times New Roman" w:eastAsia="宋体"/>
          <w:szCs w:val="21"/>
        </w:rPr>
        <w:t>25</w:t>
      </w:r>
      <w:r>
        <w:rPr>
          <w:rFonts w:ascii="Times New Roman" w:eastAsia="宋体"/>
          <w:szCs w:val="21"/>
        </w:rPr>
        <w:t>%；</w:t>
      </w:r>
    </w:p>
    <w:p>
      <w:pPr>
        <w:pStyle w:val="102"/>
        <w:numPr>
          <w:ilvl w:val="0"/>
          <w:numId w:val="41"/>
        </w:numPr>
        <w:spacing w:beforeLines="0" w:afterLines="0"/>
        <w:ind w:left="840" w:leftChars="200" w:hanging="420" w:hangingChars="200"/>
        <w:outlineLvl w:val="9"/>
        <w:rPr>
          <w:rFonts w:ascii="Times New Roman" w:eastAsia="宋体"/>
          <w:szCs w:val="21"/>
        </w:rPr>
      </w:pPr>
      <w:r>
        <w:rPr>
          <w:rFonts w:ascii="Times New Roman" w:eastAsia="宋体"/>
          <w:szCs w:val="21"/>
        </w:rPr>
        <w:t>监测点温度达到制造商规定的最高工作温度；</w:t>
      </w:r>
    </w:p>
    <w:p>
      <w:pPr>
        <w:pStyle w:val="102"/>
        <w:numPr>
          <w:ilvl w:val="0"/>
          <w:numId w:val="41"/>
        </w:numPr>
        <w:spacing w:beforeLines="0" w:afterLines="0"/>
        <w:ind w:left="840" w:leftChars="200" w:hanging="420" w:hangingChars="200"/>
        <w:outlineLvl w:val="9"/>
        <w:rPr>
          <w:rFonts w:ascii="Times New Roman" w:eastAsia="宋体"/>
          <w:szCs w:val="21"/>
        </w:rPr>
      </w:pPr>
      <w:r>
        <w:rPr>
          <w:rFonts w:ascii="Times New Roman" w:eastAsia="宋体"/>
          <w:szCs w:val="21"/>
        </w:rPr>
        <w:t>监测点的温升速率dT/dt≥</w:t>
      </w:r>
      <w:r>
        <w:rPr>
          <w:rFonts w:hint="eastAsia" w:ascii="Times New Roman" w:eastAsia="宋体"/>
          <w:szCs w:val="21"/>
        </w:rPr>
        <w:t>1</w:t>
      </w:r>
      <w:r>
        <w:rPr>
          <w:rFonts w:ascii="Times New Roman" w:eastAsia="宋体"/>
          <w:szCs w:val="21"/>
        </w:rPr>
        <w:t xml:space="preserve"> </w:t>
      </w:r>
      <w:r>
        <w:rPr>
          <w:rFonts w:hint="eastAsia" w:ascii="宋体" w:hAnsi="宋体" w:eastAsia="宋体" w:cs="宋体"/>
          <w:szCs w:val="21"/>
          <w:lang w:eastAsia="ja-JP"/>
        </w:rPr>
        <w:t>℃</w:t>
      </w:r>
      <w:r>
        <w:rPr>
          <w:rFonts w:ascii="Times New Roman" w:eastAsiaTheme="minorEastAsia"/>
          <w:szCs w:val="21"/>
        </w:rPr>
        <w:t>/s</w:t>
      </w:r>
      <w:r>
        <w:rPr>
          <w:rFonts w:hint="eastAsia" w:ascii="Times New Roman" w:eastAsiaTheme="minorEastAsia"/>
          <w:szCs w:val="21"/>
        </w:rPr>
        <w:t>，</w:t>
      </w:r>
      <w:r>
        <w:rPr>
          <w:rFonts w:ascii="Times New Roman" w:eastAsiaTheme="minorEastAsia"/>
          <w:szCs w:val="21"/>
        </w:rPr>
        <w:t>且</w:t>
      </w:r>
      <w:r>
        <w:rPr>
          <w:rFonts w:hint="eastAsia" w:ascii="Times New Roman" w:eastAsiaTheme="minorEastAsia"/>
          <w:szCs w:val="21"/>
        </w:rPr>
        <w:t>持续3</w:t>
      </w:r>
      <w:r>
        <w:rPr>
          <w:rFonts w:ascii="Times New Roman" w:eastAsiaTheme="minorEastAsia"/>
          <w:szCs w:val="21"/>
        </w:rPr>
        <w:t xml:space="preserve"> </w:t>
      </w:r>
      <w:r>
        <w:rPr>
          <w:rFonts w:hint="eastAsia" w:ascii="Times New Roman" w:eastAsiaTheme="minorEastAsia"/>
          <w:szCs w:val="21"/>
        </w:rPr>
        <w:t>s以上</w:t>
      </w:r>
      <w:r>
        <w:rPr>
          <w:rFonts w:ascii="Times New Roman" w:eastAsia="宋体"/>
          <w:szCs w:val="21"/>
        </w:rPr>
        <w:t>。</w:t>
      </w:r>
    </w:p>
    <w:p>
      <w:pPr>
        <w:pStyle w:val="23"/>
        <w:spacing w:before="156" w:beforeLines="50" w:after="156" w:afterLines="50"/>
        <w:rPr>
          <w:rFonts w:ascii="Times New Roman"/>
        </w:rPr>
      </w:pPr>
      <w:r>
        <w:rPr>
          <w:rFonts w:ascii="Times New Roman"/>
        </w:rPr>
        <w:t>当a</w:t>
      </w:r>
      <w:r>
        <w:rPr>
          <w:rFonts w:hint="eastAsia" w:ascii="Times New Roman"/>
        </w:rPr>
        <w:t>）和</w:t>
      </w:r>
      <w:r>
        <w:rPr>
          <w:rFonts w:ascii="Times New Roman"/>
        </w:rPr>
        <w:t>c</w:t>
      </w:r>
      <w:r>
        <w:rPr>
          <w:rFonts w:hint="eastAsia" w:ascii="Times New Roman"/>
        </w:rPr>
        <w:t>）</w:t>
      </w:r>
      <w:r>
        <w:rPr>
          <w:rFonts w:ascii="Times New Roman"/>
        </w:rPr>
        <w:t>或者b</w:t>
      </w:r>
      <w:r>
        <w:rPr>
          <w:rFonts w:hint="eastAsia" w:ascii="Times New Roman"/>
        </w:rPr>
        <w:t>）和</w:t>
      </w:r>
      <w:r>
        <w:rPr>
          <w:rFonts w:ascii="Times New Roman"/>
        </w:rPr>
        <w:t>c</w:t>
      </w:r>
      <w:r>
        <w:rPr>
          <w:rFonts w:hint="eastAsia" w:ascii="Times New Roman"/>
        </w:rPr>
        <w:t>）</w:t>
      </w:r>
      <w:r>
        <w:rPr>
          <w:rFonts w:ascii="Times New Roman"/>
        </w:rPr>
        <w:t>发生时，判定发生热失控。</w:t>
      </w:r>
      <w:r>
        <w:rPr>
          <w:rFonts w:hint="eastAsia" w:ascii="Times New Roman"/>
        </w:rPr>
        <w:t>如果采用</w:t>
      </w:r>
      <w:r>
        <w:rPr>
          <w:rFonts w:ascii="Times New Roman"/>
        </w:rPr>
        <w:t>推荐的</w:t>
      </w:r>
      <w:r>
        <w:rPr>
          <w:rFonts w:hint="eastAsia" w:ascii="Times New Roman"/>
        </w:rPr>
        <w:t>方法</w:t>
      </w:r>
      <w:r>
        <w:rPr>
          <w:rFonts w:ascii="Times New Roman"/>
        </w:rPr>
        <w:t>作为热失控触</w:t>
      </w:r>
      <w:r>
        <w:rPr>
          <w:rFonts w:hint="eastAsia" w:ascii="Times New Roman"/>
        </w:rPr>
        <w:t>发</w:t>
      </w:r>
      <w:r>
        <w:rPr>
          <w:rFonts w:ascii="Times New Roman"/>
        </w:rPr>
        <w:t>方法，且未发生热失控，需证明采用</w:t>
      </w:r>
      <w:r>
        <w:rPr>
          <w:rFonts w:hint="eastAsia" w:ascii="Times New Roman"/>
        </w:rPr>
        <w:t>如上三种</w:t>
      </w:r>
      <w:r>
        <w:rPr>
          <w:rFonts w:ascii="Times New Roman"/>
        </w:rPr>
        <w:t>推荐方法均不会发生热失控。</w:t>
      </w:r>
    </w:p>
    <w:p>
      <w:pPr>
        <w:pStyle w:val="88"/>
        <w:spacing w:before="156" w:after="156"/>
        <w:rPr>
          <w:rFonts w:ascii="Times New Roman" w:eastAsiaTheme="minorEastAsia"/>
        </w:rPr>
      </w:pPr>
      <w:r>
        <w:rPr>
          <w:rFonts w:hint="eastAsia" w:ascii="Times New Roman" w:eastAsiaTheme="minorEastAsia"/>
        </w:rPr>
        <w:t>触发电池单体热失控后，在试验环境温度下至少观察2</w:t>
      </w:r>
      <w:r>
        <w:rPr>
          <w:rFonts w:ascii="Times New Roman" w:eastAsiaTheme="minorEastAsia"/>
        </w:rPr>
        <w:t xml:space="preserve"> </w:t>
      </w:r>
      <w:r>
        <w:rPr>
          <w:rFonts w:hint="eastAsia" w:ascii="Times New Roman" w:eastAsiaTheme="minorEastAsia"/>
        </w:rPr>
        <w:t>h，且所有监测点温度均不高于60</w:t>
      </w:r>
      <w:r>
        <w:rPr>
          <w:rFonts w:ascii="Times New Roman" w:eastAsiaTheme="minorEastAsia"/>
        </w:rPr>
        <w:t xml:space="preserve"> </w:t>
      </w:r>
      <w:r>
        <w:rPr>
          <w:rFonts w:hint="eastAsia" w:ascii="Times New Roman" w:eastAsiaTheme="minorEastAsia"/>
        </w:rPr>
        <w:t>℃，结束试验。</w:t>
      </w:r>
    </w:p>
    <w:p>
      <w:pPr>
        <w:pStyle w:val="88"/>
        <w:numPr>
          <w:ilvl w:val="0"/>
          <w:numId w:val="0"/>
        </w:numPr>
        <w:spacing w:before="156" w:after="156"/>
        <w:rPr>
          <w:rFonts w:ascii="Times New Roman" w:eastAsiaTheme="minorEastAsia"/>
        </w:rPr>
      </w:pPr>
    </w:p>
    <w:bookmarkEnd w:id="1312"/>
    <w:p>
      <w:pPr>
        <w:keepNext/>
        <w:pageBreakBefore/>
        <w:widowControl/>
        <w:shd w:val="clear" w:color="FFFFFF" w:fill="FFFFFF"/>
        <w:spacing w:before="640" w:after="200"/>
        <w:jc w:val="center"/>
        <w:outlineLvl w:val="0"/>
        <w:rPr>
          <w:rFonts w:ascii="黑体" w:eastAsia="黑体"/>
          <w:kern w:val="0"/>
          <w:szCs w:val="20"/>
        </w:rPr>
      </w:pPr>
      <w:bookmarkStart w:id="1415" w:name="BKCKWX"/>
      <w:bookmarkStart w:id="1416" w:name="_Toc513234412"/>
      <w:r>
        <w:rPr>
          <w:rFonts w:hint="eastAsia" w:ascii="黑体" w:eastAsia="黑体"/>
          <w:kern w:val="0"/>
          <w:szCs w:val="20"/>
        </w:rPr>
        <w:t>参</w:t>
      </w:r>
      <w:r>
        <w:rPr>
          <w:rFonts w:ascii="黑体" w:hAnsi="黑体" w:eastAsia="黑体"/>
          <w:kern w:val="0"/>
          <w:szCs w:val="20"/>
        </w:rPr>
        <w:t> </w:t>
      </w:r>
      <w:r>
        <w:rPr>
          <w:rFonts w:hint="eastAsia" w:ascii="黑体" w:eastAsia="黑体"/>
          <w:kern w:val="0"/>
          <w:szCs w:val="20"/>
        </w:rPr>
        <w:t>考</w:t>
      </w:r>
      <w:r>
        <w:rPr>
          <w:rFonts w:ascii="黑体" w:hAnsi="黑体" w:eastAsia="黑体"/>
          <w:kern w:val="0"/>
          <w:szCs w:val="20"/>
        </w:rPr>
        <w:t> </w:t>
      </w:r>
      <w:r>
        <w:rPr>
          <w:rFonts w:hint="eastAsia" w:ascii="黑体" w:eastAsia="黑体"/>
          <w:kern w:val="0"/>
          <w:szCs w:val="20"/>
        </w:rPr>
        <w:t>文</w:t>
      </w:r>
      <w:r>
        <w:rPr>
          <w:rFonts w:ascii="黑体" w:hAnsi="黑体" w:eastAsia="黑体"/>
          <w:kern w:val="0"/>
          <w:szCs w:val="20"/>
        </w:rPr>
        <w:t> </w:t>
      </w:r>
      <w:r>
        <w:rPr>
          <w:rFonts w:hint="eastAsia" w:ascii="黑体" w:eastAsia="黑体"/>
          <w:kern w:val="0"/>
          <w:szCs w:val="20"/>
        </w:rPr>
        <w:t>献</w:t>
      </w:r>
      <w:bookmarkEnd w:id="1415"/>
      <w:bookmarkEnd w:id="1416"/>
    </w:p>
    <w:p>
      <w:pPr>
        <w:widowControl/>
        <w:tabs>
          <w:tab w:val="center" w:pos="4201"/>
          <w:tab w:val="right" w:leader="dot" w:pos="9298"/>
        </w:tabs>
        <w:autoSpaceDE w:val="0"/>
        <w:autoSpaceDN w:val="0"/>
        <w:ind w:firstLine="420" w:firstLineChars="200"/>
        <w:jc w:val="left"/>
        <w:rPr>
          <w:rFonts w:ascii="宋体"/>
          <w:kern w:val="0"/>
          <w:szCs w:val="20"/>
        </w:rPr>
      </w:pPr>
      <w:r>
        <w:rPr>
          <w:rFonts w:hint="eastAsia" w:ascii="宋体"/>
          <w:kern w:val="0"/>
          <w:szCs w:val="20"/>
        </w:rPr>
        <w:t>[</w:t>
      </w:r>
      <w:r>
        <w:rPr>
          <w:rFonts w:ascii="宋体"/>
          <w:kern w:val="0"/>
          <w:szCs w:val="20"/>
        </w:rPr>
        <w:t xml:space="preserve">1] </w:t>
      </w:r>
      <w:r>
        <w:rPr>
          <w:rFonts w:hint="eastAsia" w:ascii="宋体"/>
          <w:kern w:val="0"/>
          <w:szCs w:val="20"/>
        </w:rPr>
        <w:t>GB/T 20438（所有部分） 电气/电子/可编程电子安全相关系统的功能安全</w:t>
      </w:r>
    </w:p>
    <w:p>
      <w:pPr>
        <w:widowControl/>
        <w:tabs>
          <w:tab w:val="center" w:pos="4201"/>
          <w:tab w:val="right" w:leader="dot" w:pos="9298"/>
        </w:tabs>
        <w:autoSpaceDE w:val="0"/>
        <w:autoSpaceDN w:val="0"/>
        <w:ind w:firstLine="420" w:firstLineChars="200"/>
        <w:jc w:val="left"/>
        <w:rPr>
          <w:rFonts w:ascii="宋体"/>
          <w:kern w:val="0"/>
          <w:szCs w:val="20"/>
        </w:rPr>
      </w:pPr>
      <w:r>
        <w:rPr>
          <w:rFonts w:hint="eastAsia" w:ascii="宋体"/>
          <w:kern w:val="0"/>
          <w:szCs w:val="20"/>
        </w:rPr>
        <w:t>[2</w:t>
      </w:r>
      <w:r>
        <w:rPr>
          <w:rFonts w:ascii="宋体"/>
          <w:kern w:val="0"/>
          <w:szCs w:val="20"/>
        </w:rPr>
        <w:t xml:space="preserve">] </w:t>
      </w:r>
      <w:r>
        <w:rPr>
          <w:rFonts w:hint="eastAsia" w:ascii="宋体"/>
          <w:kern w:val="0"/>
          <w:szCs w:val="20"/>
        </w:rPr>
        <w:t>GB/T 34590（所有部分） 道路车辆 功能安全</w:t>
      </w:r>
    </w:p>
    <w:p>
      <w:pPr>
        <w:widowControl/>
        <w:tabs>
          <w:tab w:val="center" w:pos="4201"/>
          <w:tab w:val="right" w:leader="dot" w:pos="9298"/>
        </w:tabs>
        <w:autoSpaceDE w:val="0"/>
        <w:autoSpaceDN w:val="0"/>
        <w:ind w:firstLine="420" w:firstLineChars="200"/>
        <w:jc w:val="left"/>
        <w:rPr>
          <w:rFonts w:ascii="宋体"/>
          <w:kern w:val="0"/>
          <w:szCs w:val="20"/>
        </w:rPr>
      </w:pPr>
      <w:r>
        <w:rPr>
          <w:rFonts w:hint="eastAsia" w:ascii="宋体"/>
          <w:kern w:val="0"/>
          <w:szCs w:val="20"/>
        </w:rPr>
        <w:t>[3</w:t>
      </w:r>
      <w:r>
        <w:rPr>
          <w:rFonts w:ascii="宋体"/>
          <w:kern w:val="0"/>
          <w:szCs w:val="20"/>
        </w:rPr>
        <w:t>] ISO 26262</w:t>
      </w:r>
      <w:r>
        <w:rPr>
          <w:rFonts w:hint="eastAsia" w:ascii="宋体"/>
          <w:kern w:val="0"/>
          <w:szCs w:val="20"/>
        </w:rPr>
        <w:t>（</w:t>
      </w:r>
      <w:r>
        <w:rPr>
          <w:rFonts w:ascii="宋体"/>
          <w:kern w:val="0"/>
          <w:szCs w:val="20"/>
        </w:rPr>
        <w:t>all parts</w:t>
      </w:r>
      <w:r>
        <w:rPr>
          <w:rFonts w:hint="eastAsia" w:ascii="宋体"/>
          <w:kern w:val="0"/>
          <w:szCs w:val="20"/>
        </w:rPr>
        <w:t xml:space="preserve">） </w:t>
      </w:r>
      <w:r>
        <w:rPr>
          <w:rFonts w:ascii="宋体"/>
          <w:kern w:val="0"/>
          <w:szCs w:val="20"/>
        </w:rPr>
        <w:t>Road vehicles - Functional safety</w:t>
      </w:r>
    </w:p>
    <w:p>
      <w:pPr>
        <w:widowControl/>
        <w:tabs>
          <w:tab w:val="center" w:pos="4201"/>
          <w:tab w:val="right" w:leader="dot" w:pos="9298"/>
        </w:tabs>
        <w:autoSpaceDE w:val="0"/>
        <w:autoSpaceDN w:val="0"/>
        <w:ind w:firstLine="420" w:firstLineChars="200"/>
        <w:jc w:val="left"/>
        <w:rPr>
          <w:rFonts w:ascii="宋体"/>
          <w:kern w:val="0"/>
          <w:szCs w:val="20"/>
        </w:rPr>
      </w:pPr>
      <w:r>
        <w:rPr>
          <w:rFonts w:hint="eastAsia" w:ascii="宋体"/>
          <w:kern w:val="0"/>
          <w:szCs w:val="20"/>
        </w:rPr>
        <w:t>[4</w:t>
      </w:r>
      <w:r>
        <w:rPr>
          <w:rFonts w:ascii="宋体"/>
          <w:kern w:val="0"/>
          <w:szCs w:val="20"/>
        </w:rPr>
        <w:t>]</w:t>
      </w:r>
      <w:r>
        <w:rPr>
          <w:rFonts w:hint="eastAsia" w:ascii="宋体"/>
          <w:kern w:val="0"/>
          <w:szCs w:val="20"/>
        </w:rPr>
        <w:t xml:space="preserve"> </w:t>
      </w:r>
      <w:r>
        <w:rPr>
          <w:rFonts w:ascii="宋体"/>
          <w:kern w:val="0"/>
          <w:szCs w:val="20"/>
        </w:rPr>
        <w:t>IEC 61508</w:t>
      </w:r>
      <w:r>
        <w:rPr>
          <w:rFonts w:hint="eastAsia" w:ascii="宋体"/>
          <w:kern w:val="0"/>
          <w:szCs w:val="20"/>
        </w:rPr>
        <w:t>（</w:t>
      </w:r>
      <w:r>
        <w:rPr>
          <w:rFonts w:ascii="宋体"/>
          <w:kern w:val="0"/>
          <w:szCs w:val="20"/>
        </w:rPr>
        <w:t>all parts</w:t>
      </w:r>
      <w:r>
        <w:rPr>
          <w:rFonts w:hint="eastAsia" w:ascii="宋体"/>
          <w:kern w:val="0"/>
          <w:szCs w:val="20"/>
        </w:rPr>
        <w:t>）</w:t>
      </w:r>
      <w:r>
        <w:rPr>
          <w:rFonts w:ascii="宋体"/>
          <w:kern w:val="0"/>
          <w:szCs w:val="20"/>
        </w:rPr>
        <w:t>Functional safety of electrical/electronic/programmable electronic safety-related systems</w:t>
      </w:r>
    </w:p>
    <w:p>
      <w:pPr>
        <w:widowControl/>
        <w:tabs>
          <w:tab w:val="center" w:pos="4201"/>
          <w:tab w:val="right" w:leader="dot" w:pos="9298"/>
        </w:tabs>
        <w:autoSpaceDE w:val="0"/>
        <w:autoSpaceDN w:val="0"/>
        <w:ind w:firstLine="420" w:firstLineChars="200"/>
        <w:rPr>
          <w:rFonts w:ascii="宋体"/>
          <w:kern w:val="0"/>
          <w:szCs w:val="20"/>
        </w:rPr>
      </w:pPr>
    </w:p>
    <w:p>
      <w:pPr>
        <w:pStyle w:val="130"/>
        <w:framePr w:wrap="around" w:hAnchor="page" w:x="4303" w:y="277"/>
      </w:pPr>
      <w:r>
        <w:t>_________________________________</w:t>
      </w:r>
    </w:p>
    <w:p>
      <w:pPr>
        <w:widowControl/>
        <w:jc w:val="left"/>
        <w:rPr>
          <w:rFonts w:ascii="宋体"/>
          <w:kern w:val="0"/>
          <w:szCs w:val="20"/>
        </w:rPr>
      </w:pPr>
    </w:p>
    <w:sectPr>
      <w:pgSz w:w="11906" w:h="16838"/>
      <w:pgMar w:top="567" w:right="1134" w:bottom="1134" w:left="1418" w:header="1418" w:footer="1134" w:gutter="0"/>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r>
      <w:fldChar w:fldCharType="begin"/>
    </w:r>
    <w:r>
      <w:instrText xml:space="preserve"> PAGE  \* MERGEFORMAT </w:instrText>
    </w:r>
    <w:r>
      <w:fldChar w:fldCharType="separate"/>
    </w:r>
    <w: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pPr>
    <w:r>
      <w:t>GB 38031—XXXX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A0BDF"/>
    <w:multiLevelType w:val="multilevel"/>
    <w:tmpl w:val="006A0BDF"/>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C65366"/>
    <w:multiLevelType w:val="multilevel"/>
    <w:tmpl w:val="00C65366"/>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4A96C46"/>
    <w:multiLevelType w:val="multilevel"/>
    <w:tmpl w:val="04A96C46"/>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80312D2"/>
    <w:multiLevelType w:val="multilevel"/>
    <w:tmpl w:val="080312D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F061E81"/>
    <w:multiLevelType w:val="multilevel"/>
    <w:tmpl w:val="0F061E81"/>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F7940D1"/>
    <w:multiLevelType w:val="multilevel"/>
    <w:tmpl w:val="0F7940D1"/>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100718D2"/>
    <w:multiLevelType w:val="multilevel"/>
    <w:tmpl w:val="100718D2"/>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133C0BD8"/>
    <w:multiLevelType w:val="multilevel"/>
    <w:tmpl w:val="133C0BD8"/>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16A85BF7"/>
    <w:multiLevelType w:val="multilevel"/>
    <w:tmpl w:val="16A85BF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192901B1"/>
    <w:multiLevelType w:val="multilevel"/>
    <w:tmpl w:val="192901B1"/>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1DBF583A"/>
    <w:multiLevelType w:val="multilevel"/>
    <w:tmpl w:val="1DBF583A"/>
    <w:lvl w:ilvl="0" w:tentative="0">
      <w:start w:val="1"/>
      <w:numFmt w:val="decimal"/>
      <w:pStyle w:val="6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1">
    <w:nsid w:val="1FC91163"/>
    <w:multiLevelType w:val="multilevel"/>
    <w:tmpl w:val="1FC91163"/>
    <w:lvl w:ilvl="0" w:tentative="0">
      <w:start w:val="1"/>
      <w:numFmt w:val="decimal"/>
      <w:pStyle w:val="4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2"/>
      <w:suff w:val="nothing"/>
      <w:lvlText w:val="%1.%2　"/>
      <w:lvlJc w:val="left"/>
      <w:pPr>
        <w:ind w:left="1417"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46"/>
      <w:suff w:val="nothing"/>
      <w:lvlText w:val="%1.%2.%3　"/>
      <w:lvlJc w:val="left"/>
      <w:pPr>
        <w:ind w:left="1702" w:firstLine="0"/>
      </w:pPr>
      <w:rPr>
        <w:rFonts w:hint="eastAsia" w:ascii="黑体" w:hAnsi="Times New Roman" w:eastAsia="黑体"/>
        <w:b w:val="0"/>
        <w:i w:val="0"/>
        <w:sz w:val="21"/>
      </w:rPr>
    </w:lvl>
    <w:lvl w:ilvl="3" w:tentative="0">
      <w:start w:val="1"/>
      <w:numFmt w:val="decimal"/>
      <w:pStyle w:val="51"/>
      <w:suff w:val="nothing"/>
      <w:lvlText w:val="%1.%2.%3.%4　"/>
      <w:lvlJc w:val="left"/>
      <w:pPr>
        <w:ind w:left="2268" w:hanging="425"/>
      </w:pPr>
      <w:rPr>
        <w:rFonts w:hint="eastAsia" w:ascii="黑体" w:hAnsi="Times New Roman" w:eastAsia="黑体"/>
        <w:b w:val="0"/>
        <w:i w:val="0"/>
        <w:sz w:val="21"/>
      </w:rPr>
    </w:lvl>
    <w:lvl w:ilvl="4" w:tentative="0">
      <w:start w:val="1"/>
      <w:numFmt w:val="decimal"/>
      <w:pStyle w:val="55"/>
      <w:suff w:val="nothing"/>
      <w:lvlText w:val="%1.%2.%3.%4.%5　"/>
      <w:lvlJc w:val="left"/>
      <w:pPr>
        <w:ind w:left="425" w:firstLine="0"/>
      </w:pPr>
      <w:rPr>
        <w:rFonts w:hint="eastAsia" w:ascii="黑体" w:hAnsi="Times New Roman" w:eastAsia="黑体"/>
        <w:b w:val="0"/>
        <w:i w:val="0"/>
        <w:sz w:val="21"/>
      </w:rPr>
    </w:lvl>
    <w:lvl w:ilvl="5" w:tentative="0">
      <w:start w:val="1"/>
      <w:numFmt w:val="decimal"/>
      <w:pStyle w:val="5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025680D"/>
    <w:multiLevelType w:val="multilevel"/>
    <w:tmpl w:val="2025680D"/>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217E0A64"/>
    <w:multiLevelType w:val="multilevel"/>
    <w:tmpl w:val="217E0A64"/>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4964012"/>
    <w:multiLevelType w:val="multilevel"/>
    <w:tmpl w:val="24964012"/>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27424408"/>
    <w:multiLevelType w:val="multilevel"/>
    <w:tmpl w:val="27424408"/>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28C0793F"/>
    <w:multiLevelType w:val="multilevel"/>
    <w:tmpl w:val="28C0793F"/>
    <w:lvl w:ilvl="0" w:tentative="0">
      <w:start w:val="1"/>
      <w:numFmt w:val="lowerLetter"/>
      <w:lvlText w:val="%1)"/>
      <w:lvlJc w:val="left"/>
      <w:pPr>
        <w:ind w:left="780" w:hanging="360"/>
      </w:pPr>
      <w:rPr>
        <w:rFonts w:hint="default" w:ascii="Times New Roman" w:hAnsi="Times New Roman" w:eastAsia="黑体" w:cs="Times New Roman"/>
      </w:rPr>
    </w:lvl>
    <w:lvl w:ilvl="1" w:tentative="0">
      <w:start w:val="1"/>
      <w:numFmt w:val="decimal"/>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2A8F7113"/>
    <w:multiLevelType w:val="multilevel"/>
    <w:tmpl w:val="2A8F7113"/>
    <w:lvl w:ilvl="0" w:tentative="0">
      <w:start w:val="1"/>
      <w:numFmt w:val="upperLetter"/>
      <w:pStyle w:val="98"/>
      <w:suff w:val="space"/>
      <w:lvlText w:val="%1"/>
      <w:lvlJc w:val="left"/>
      <w:pPr>
        <w:ind w:left="623" w:hanging="425"/>
      </w:pPr>
      <w:rPr>
        <w:rFonts w:hint="eastAsia"/>
      </w:rPr>
    </w:lvl>
    <w:lvl w:ilvl="1" w:tentative="0">
      <w:start w:val="1"/>
      <w:numFmt w:val="decimal"/>
      <w:pStyle w:val="99"/>
      <w:suff w:val="nothing"/>
      <w:lvlText w:val="图%1.%2　"/>
      <w:lvlJc w:val="left"/>
      <w:pPr>
        <w:ind w:left="3828"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8">
    <w:nsid w:val="2C6D11FF"/>
    <w:multiLevelType w:val="multilevel"/>
    <w:tmpl w:val="2C6D11FF"/>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3CD32404"/>
    <w:multiLevelType w:val="multilevel"/>
    <w:tmpl w:val="3CD32404"/>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3D733618"/>
    <w:multiLevelType w:val="multilevel"/>
    <w:tmpl w:val="3D733618"/>
    <w:lvl w:ilvl="0" w:tentative="0">
      <w:start w:val="1"/>
      <w:numFmt w:val="decimal"/>
      <w:pStyle w:val="2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21">
    <w:nsid w:val="3DC908EE"/>
    <w:multiLevelType w:val="multilevel"/>
    <w:tmpl w:val="3DC908E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403D2918"/>
    <w:multiLevelType w:val="multilevel"/>
    <w:tmpl w:val="403D2918"/>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41E9371F"/>
    <w:multiLevelType w:val="multilevel"/>
    <w:tmpl w:val="41E9371F"/>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54"/>
      <w:lvlText w:val="%2)"/>
      <w:lvlJc w:val="left"/>
      <w:pPr>
        <w:tabs>
          <w:tab w:val="left" w:pos="1259"/>
        </w:tabs>
        <w:ind w:left="0" w:firstLine="839"/>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5">
    <w:nsid w:val="46CD7908"/>
    <w:multiLevelType w:val="multilevel"/>
    <w:tmpl w:val="46CD7908"/>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6">
    <w:nsid w:val="481D39D9"/>
    <w:multiLevelType w:val="multilevel"/>
    <w:tmpl w:val="481D39D9"/>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7">
    <w:nsid w:val="48897472"/>
    <w:multiLevelType w:val="multilevel"/>
    <w:tmpl w:val="48897472"/>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4B733A5F"/>
    <w:multiLevelType w:val="multilevel"/>
    <w:tmpl w:val="4B733A5F"/>
    <w:lvl w:ilvl="0" w:tentative="0">
      <w:start w:val="1"/>
      <w:numFmt w:val="decimal"/>
      <w:pStyle w:val="62"/>
      <w:suff w:val="nothing"/>
      <w:lvlText w:val="示例%1："/>
      <w:lvlJc w:val="left"/>
      <w:pPr>
        <w:ind w:left="0" w:firstLine="363"/>
      </w:pPr>
      <w:rPr>
        <w:rFonts w:hint="eastAsia" w:ascii="黑体" w:eastAsia="黑体"/>
        <w:b w:val="0"/>
        <w:i w:val="0"/>
        <w:sz w:val="18"/>
        <w:szCs w:val="18"/>
        <w:vertAlign w:val="baseline"/>
      </w:rPr>
    </w:lvl>
    <w:lvl w:ilvl="1" w:tentative="0">
      <w:start w:val="1"/>
      <w:numFmt w:val="lowerLetter"/>
      <w:lvlText w:val="%2)"/>
      <w:lvlJc w:val="left"/>
      <w:pPr>
        <w:ind w:left="0" w:firstLine="0"/>
      </w:pPr>
      <w:rPr>
        <w:rFonts w:hint="eastAsia"/>
        <w:vertAlign w:val="baseline"/>
      </w:rPr>
    </w:lvl>
    <w:lvl w:ilvl="2" w:tentative="0">
      <w:start w:val="1"/>
      <w:numFmt w:val="lowerRoman"/>
      <w:lvlText w:val="%3."/>
      <w:lvlJc w:val="right"/>
      <w:pPr>
        <w:ind w:left="839" w:hanging="442"/>
      </w:pPr>
      <w:rPr>
        <w:rFonts w:hint="eastAsia"/>
        <w:vertAlign w:val="baseline"/>
      </w:rPr>
    </w:lvl>
    <w:lvl w:ilvl="3" w:tentative="0">
      <w:start w:val="1"/>
      <w:numFmt w:val="decimal"/>
      <w:lvlText w:val="%4."/>
      <w:lvlJc w:val="left"/>
      <w:pPr>
        <w:ind w:left="839" w:hanging="442"/>
      </w:pPr>
      <w:rPr>
        <w:rFonts w:hint="eastAsia"/>
        <w:vertAlign w:val="baseline"/>
      </w:rPr>
    </w:lvl>
    <w:lvl w:ilvl="4" w:tentative="0">
      <w:start w:val="1"/>
      <w:numFmt w:val="lowerLetter"/>
      <w:lvlText w:val="%5)"/>
      <w:lvlJc w:val="left"/>
      <w:pPr>
        <w:ind w:left="839" w:hanging="442"/>
      </w:pPr>
      <w:rPr>
        <w:rFonts w:hint="eastAsia"/>
        <w:vertAlign w:val="baseline"/>
      </w:rPr>
    </w:lvl>
    <w:lvl w:ilvl="5" w:tentative="0">
      <w:start w:val="1"/>
      <w:numFmt w:val="lowerRoman"/>
      <w:lvlText w:val="%6."/>
      <w:lvlJc w:val="right"/>
      <w:pPr>
        <w:ind w:left="839" w:hanging="442"/>
      </w:pPr>
      <w:rPr>
        <w:rFonts w:hint="eastAsia"/>
        <w:vertAlign w:val="baseline"/>
      </w:rPr>
    </w:lvl>
    <w:lvl w:ilvl="6" w:tentative="0">
      <w:start w:val="1"/>
      <w:numFmt w:val="decimal"/>
      <w:lvlText w:val="%7."/>
      <w:lvlJc w:val="left"/>
      <w:pPr>
        <w:ind w:left="839" w:hanging="442"/>
      </w:pPr>
      <w:rPr>
        <w:rFonts w:hint="eastAsia"/>
        <w:vertAlign w:val="baseline"/>
      </w:rPr>
    </w:lvl>
    <w:lvl w:ilvl="7" w:tentative="0">
      <w:start w:val="1"/>
      <w:numFmt w:val="lowerLetter"/>
      <w:lvlText w:val="%8)"/>
      <w:lvlJc w:val="left"/>
      <w:pPr>
        <w:ind w:left="839" w:hanging="442"/>
      </w:pPr>
      <w:rPr>
        <w:rFonts w:hint="eastAsia"/>
        <w:vertAlign w:val="baseline"/>
      </w:rPr>
    </w:lvl>
    <w:lvl w:ilvl="8" w:tentative="0">
      <w:start w:val="1"/>
      <w:numFmt w:val="lowerRoman"/>
      <w:lvlText w:val="%9."/>
      <w:lvlJc w:val="right"/>
      <w:pPr>
        <w:ind w:left="839" w:hanging="442"/>
      </w:pPr>
      <w:rPr>
        <w:rFonts w:hint="eastAsia"/>
        <w:vertAlign w:val="baseline"/>
      </w:rPr>
    </w:lvl>
  </w:abstractNum>
  <w:abstractNum w:abstractNumId="29">
    <w:nsid w:val="51433B47"/>
    <w:multiLevelType w:val="multilevel"/>
    <w:tmpl w:val="51433B47"/>
    <w:lvl w:ilvl="0" w:tentative="0">
      <w:start w:val="1"/>
      <w:numFmt w:val="decimal"/>
      <w:lvlText w:val="%1)"/>
      <w:lvlJc w:val="left"/>
      <w:pPr>
        <w:ind w:left="1250" w:hanging="440"/>
      </w:pPr>
      <w:rPr>
        <w:rFonts w:asciiTheme="minorEastAsia" w:hAnsiTheme="minorEastAsia" w:eastAsiaTheme="minorEastAsia"/>
      </w:rPr>
    </w:lvl>
    <w:lvl w:ilvl="1" w:tentative="0">
      <w:start w:val="1"/>
      <w:numFmt w:val="lowerLetter"/>
      <w:lvlText w:val="%2)"/>
      <w:lvlJc w:val="left"/>
      <w:pPr>
        <w:ind w:left="1690" w:hanging="440"/>
      </w:pPr>
    </w:lvl>
    <w:lvl w:ilvl="2" w:tentative="0">
      <w:start w:val="1"/>
      <w:numFmt w:val="lowerRoman"/>
      <w:lvlText w:val="%3."/>
      <w:lvlJc w:val="right"/>
      <w:pPr>
        <w:ind w:left="2130" w:hanging="440"/>
      </w:pPr>
    </w:lvl>
    <w:lvl w:ilvl="3" w:tentative="0">
      <w:start w:val="1"/>
      <w:numFmt w:val="decimal"/>
      <w:lvlText w:val="%4."/>
      <w:lvlJc w:val="left"/>
      <w:pPr>
        <w:ind w:left="2570" w:hanging="440"/>
      </w:pPr>
    </w:lvl>
    <w:lvl w:ilvl="4" w:tentative="0">
      <w:start w:val="1"/>
      <w:numFmt w:val="lowerLetter"/>
      <w:lvlText w:val="%5)"/>
      <w:lvlJc w:val="left"/>
      <w:pPr>
        <w:ind w:left="3010" w:hanging="440"/>
      </w:pPr>
    </w:lvl>
    <w:lvl w:ilvl="5" w:tentative="0">
      <w:start w:val="1"/>
      <w:numFmt w:val="lowerRoman"/>
      <w:lvlText w:val="%6."/>
      <w:lvlJc w:val="right"/>
      <w:pPr>
        <w:ind w:left="3450" w:hanging="440"/>
      </w:pPr>
    </w:lvl>
    <w:lvl w:ilvl="6" w:tentative="0">
      <w:start w:val="1"/>
      <w:numFmt w:val="decimal"/>
      <w:lvlText w:val="%7."/>
      <w:lvlJc w:val="left"/>
      <w:pPr>
        <w:ind w:left="3890" w:hanging="440"/>
      </w:pPr>
    </w:lvl>
    <w:lvl w:ilvl="7" w:tentative="0">
      <w:start w:val="1"/>
      <w:numFmt w:val="lowerLetter"/>
      <w:lvlText w:val="%8)"/>
      <w:lvlJc w:val="left"/>
      <w:pPr>
        <w:ind w:left="4330" w:hanging="440"/>
      </w:pPr>
    </w:lvl>
    <w:lvl w:ilvl="8" w:tentative="0">
      <w:start w:val="1"/>
      <w:numFmt w:val="lowerRoman"/>
      <w:lvlText w:val="%9."/>
      <w:lvlJc w:val="right"/>
      <w:pPr>
        <w:ind w:left="4770" w:hanging="440"/>
      </w:pPr>
    </w:lvl>
  </w:abstractNum>
  <w:abstractNum w:abstractNumId="30">
    <w:nsid w:val="5A00021C"/>
    <w:multiLevelType w:val="multilevel"/>
    <w:tmpl w:val="5A00021C"/>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5A1F335D"/>
    <w:multiLevelType w:val="multilevel"/>
    <w:tmpl w:val="5A1F335D"/>
    <w:lvl w:ilvl="0" w:tentative="0">
      <w:start w:val="1"/>
      <w:numFmt w:val="lowerLetter"/>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2">
    <w:nsid w:val="5FFA37FA"/>
    <w:multiLevelType w:val="multilevel"/>
    <w:tmpl w:val="5FFA37F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60347A7A"/>
    <w:multiLevelType w:val="multilevel"/>
    <w:tmpl w:val="60347A7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4">
    <w:nsid w:val="60B55DC2"/>
    <w:multiLevelType w:val="multilevel"/>
    <w:tmpl w:val="60B55DC2"/>
    <w:lvl w:ilvl="0" w:tentative="0">
      <w:start w:val="1"/>
      <w:numFmt w:val="upperLetter"/>
      <w:pStyle w:val="86"/>
      <w:lvlText w:val="%1"/>
      <w:lvlJc w:val="left"/>
      <w:pPr>
        <w:tabs>
          <w:tab w:val="left" w:pos="0"/>
        </w:tabs>
        <w:ind w:left="0" w:hanging="425"/>
      </w:pPr>
      <w:rPr>
        <w:rFonts w:hint="eastAsia"/>
      </w:rPr>
    </w:lvl>
    <w:lvl w:ilvl="1" w:tentative="0">
      <w:start w:val="1"/>
      <w:numFmt w:val="decimal"/>
      <w:pStyle w:val="87"/>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35">
    <w:nsid w:val="640F5E41"/>
    <w:multiLevelType w:val="multilevel"/>
    <w:tmpl w:val="640F5E41"/>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6">
    <w:nsid w:val="657D3FBC"/>
    <w:multiLevelType w:val="multilevel"/>
    <w:tmpl w:val="657D3FBC"/>
    <w:lvl w:ilvl="0" w:tentative="0">
      <w:start w:val="1"/>
      <w:numFmt w:val="upperLetter"/>
      <w:pStyle w:val="84"/>
      <w:suff w:val="nothing"/>
      <w:lvlText w:val="附　录　%1"/>
      <w:lvlJc w:val="left"/>
      <w:pPr>
        <w:ind w:left="0" w:firstLine="0"/>
      </w:pPr>
      <w:rPr>
        <w:rFonts w:hint="eastAsia" w:ascii="黑体" w:hAnsi="Times New Roman" w:eastAsia="黑体"/>
        <w:b w:val="0"/>
        <w:i w:val="0"/>
        <w:spacing w:val="0"/>
        <w:w w:val="100"/>
        <w:sz w:val="21"/>
        <w:lang w:val="en-US"/>
      </w:rPr>
    </w:lvl>
    <w:lvl w:ilvl="1" w:tentative="0">
      <w:start w:val="1"/>
      <w:numFmt w:val="decimal"/>
      <w:pStyle w:val="102"/>
      <w:suff w:val="nothing"/>
      <w:lvlText w:val="%1.%2　"/>
      <w:lvlJc w:val="left"/>
      <w:pPr>
        <w:ind w:left="709" w:firstLine="0"/>
      </w:pPr>
      <w:rPr>
        <w:rFonts w:hint="eastAsia" w:ascii="黑体" w:hAnsi="Times New Roman" w:eastAsia="黑体"/>
        <w:b w:val="0"/>
        <w:i w:val="0"/>
        <w:snapToGrid/>
        <w:spacing w:val="0"/>
        <w:w w:val="100"/>
        <w:kern w:val="21"/>
        <w:sz w:val="21"/>
      </w:rPr>
    </w:lvl>
    <w:lvl w:ilvl="2" w:tentative="0">
      <w:start w:val="1"/>
      <w:numFmt w:val="decimal"/>
      <w:pStyle w:val="103"/>
      <w:suff w:val="nothing"/>
      <w:lvlText w:val="%1.%2.%3　"/>
      <w:lvlJc w:val="left"/>
      <w:pPr>
        <w:ind w:left="0" w:firstLine="0"/>
      </w:pPr>
      <w:rPr>
        <w:rFonts w:hint="eastAsia" w:ascii="黑体" w:hAnsi="Times New Roman" w:eastAsia="黑体"/>
        <w:b w:val="0"/>
        <w:i w:val="0"/>
        <w:sz w:val="21"/>
      </w:rPr>
    </w:lvl>
    <w:lvl w:ilvl="3" w:tentative="0">
      <w:start w:val="1"/>
      <w:numFmt w:val="decimal"/>
      <w:pStyle w:val="88"/>
      <w:suff w:val="nothing"/>
      <w:lvlText w:val="%1.%2.%3.%4　"/>
      <w:lvlJc w:val="left"/>
      <w:pPr>
        <w:ind w:left="156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7">
    <w:nsid w:val="69ED71E0"/>
    <w:multiLevelType w:val="multilevel"/>
    <w:tmpl w:val="69ED71E0"/>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8">
    <w:nsid w:val="6D6C07CD"/>
    <w:multiLevelType w:val="multilevel"/>
    <w:tmpl w:val="6D6C07CD"/>
    <w:lvl w:ilvl="0" w:tentative="0">
      <w:start w:val="1"/>
      <w:numFmt w:val="lowerLetter"/>
      <w:pStyle w:val="105"/>
      <w:lvlText w:val="%1)"/>
      <w:lvlJc w:val="left"/>
      <w:pPr>
        <w:tabs>
          <w:tab w:val="left" w:pos="839"/>
        </w:tabs>
        <w:ind w:left="839" w:hanging="419"/>
      </w:pPr>
      <w:rPr>
        <w:rFonts w:hint="eastAsia" w:ascii="宋体" w:eastAsia="宋体"/>
        <w:b w:val="0"/>
        <w:i w:val="0"/>
        <w:sz w:val="21"/>
      </w:rPr>
    </w:lvl>
    <w:lvl w:ilvl="1" w:tentative="0">
      <w:start w:val="1"/>
      <w:numFmt w:val="decimal"/>
      <w:pStyle w:val="9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39">
    <w:nsid w:val="70DB5105"/>
    <w:multiLevelType w:val="multilevel"/>
    <w:tmpl w:val="70DB5105"/>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74BF1FDC"/>
    <w:multiLevelType w:val="multilevel"/>
    <w:tmpl w:val="74BF1FDC"/>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0"/>
  </w:num>
  <w:num w:numId="2">
    <w:abstractNumId w:val="11"/>
  </w:num>
  <w:num w:numId="3">
    <w:abstractNumId w:val="24"/>
  </w:num>
  <w:num w:numId="4">
    <w:abstractNumId w:val="28"/>
  </w:num>
  <w:num w:numId="5">
    <w:abstractNumId w:val="10"/>
  </w:num>
  <w:num w:numId="6">
    <w:abstractNumId w:val="36"/>
  </w:num>
  <w:num w:numId="7">
    <w:abstractNumId w:val="34"/>
  </w:num>
  <w:num w:numId="8">
    <w:abstractNumId w:val="38"/>
  </w:num>
  <w:num w:numId="9">
    <w:abstractNumId w:val="17"/>
  </w:num>
  <w:num w:numId="10">
    <w:abstractNumId w:val="32"/>
  </w:num>
  <w:num w:numId="11">
    <w:abstractNumId w:val="29"/>
  </w:num>
  <w:num w:numId="12">
    <w:abstractNumId w:val="2"/>
  </w:num>
  <w:num w:numId="13">
    <w:abstractNumId w:val="23"/>
  </w:num>
  <w:num w:numId="14">
    <w:abstractNumId w:val="30"/>
  </w:num>
  <w:num w:numId="15">
    <w:abstractNumId w:val="26"/>
  </w:num>
  <w:num w:numId="16">
    <w:abstractNumId w:val="4"/>
  </w:num>
  <w:num w:numId="17">
    <w:abstractNumId w:val="35"/>
  </w:num>
  <w:num w:numId="18">
    <w:abstractNumId w:val="33"/>
  </w:num>
  <w:num w:numId="19">
    <w:abstractNumId w:val="27"/>
  </w:num>
  <w:num w:numId="20">
    <w:abstractNumId w:val="6"/>
  </w:num>
  <w:num w:numId="21">
    <w:abstractNumId w:val="12"/>
  </w:num>
  <w:num w:numId="22">
    <w:abstractNumId w:val="39"/>
  </w:num>
  <w:num w:numId="23">
    <w:abstractNumId w:val="1"/>
  </w:num>
  <w:num w:numId="24">
    <w:abstractNumId w:val="19"/>
  </w:num>
  <w:num w:numId="25">
    <w:abstractNumId w:val="5"/>
  </w:num>
  <w:num w:numId="26">
    <w:abstractNumId w:val="14"/>
  </w:num>
  <w:num w:numId="27">
    <w:abstractNumId w:val="25"/>
  </w:num>
  <w:num w:numId="28">
    <w:abstractNumId w:val="21"/>
  </w:num>
  <w:num w:numId="29">
    <w:abstractNumId w:val="8"/>
  </w:num>
  <w:num w:numId="30">
    <w:abstractNumId w:val="22"/>
  </w:num>
  <w:num w:numId="31">
    <w:abstractNumId w:val="13"/>
  </w:num>
  <w:num w:numId="32">
    <w:abstractNumId w:val="31"/>
  </w:num>
  <w:num w:numId="33">
    <w:abstractNumId w:val="7"/>
  </w:num>
  <w:num w:numId="34">
    <w:abstractNumId w:val="15"/>
  </w:num>
  <w:num w:numId="35">
    <w:abstractNumId w:val="16"/>
  </w:num>
  <w:num w:numId="36">
    <w:abstractNumId w:val="0"/>
  </w:num>
  <w:num w:numId="37">
    <w:abstractNumId w:val="18"/>
  </w:num>
  <w:num w:numId="38">
    <w:abstractNumId w:val="37"/>
  </w:num>
  <w:num w:numId="39">
    <w:abstractNumId w:val="9"/>
  </w:num>
  <w:num w:numId="40">
    <w:abstractNumId w:val="4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456"/>
    <w:rsid w:val="00000244"/>
    <w:rsid w:val="00000F49"/>
    <w:rsid w:val="000011EC"/>
    <w:rsid w:val="000012A6"/>
    <w:rsid w:val="00001665"/>
    <w:rsid w:val="0000185F"/>
    <w:rsid w:val="00001FCF"/>
    <w:rsid w:val="0000210E"/>
    <w:rsid w:val="000023DA"/>
    <w:rsid w:val="000027BF"/>
    <w:rsid w:val="00002F3D"/>
    <w:rsid w:val="00003C11"/>
    <w:rsid w:val="000043D0"/>
    <w:rsid w:val="000044F7"/>
    <w:rsid w:val="0000469D"/>
    <w:rsid w:val="00005255"/>
    <w:rsid w:val="0000530C"/>
    <w:rsid w:val="000055FE"/>
    <w:rsid w:val="0000586F"/>
    <w:rsid w:val="00011CCB"/>
    <w:rsid w:val="00012F12"/>
    <w:rsid w:val="000139CC"/>
    <w:rsid w:val="00013D86"/>
    <w:rsid w:val="00013E02"/>
    <w:rsid w:val="0001554A"/>
    <w:rsid w:val="00015BEC"/>
    <w:rsid w:val="00015F7D"/>
    <w:rsid w:val="00017368"/>
    <w:rsid w:val="00017BE9"/>
    <w:rsid w:val="00021114"/>
    <w:rsid w:val="0002112F"/>
    <w:rsid w:val="0002143C"/>
    <w:rsid w:val="00021E62"/>
    <w:rsid w:val="0002251F"/>
    <w:rsid w:val="00022B1E"/>
    <w:rsid w:val="00023500"/>
    <w:rsid w:val="000247EB"/>
    <w:rsid w:val="00024A62"/>
    <w:rsid w:val="00024DCE"/>
    <w:rsid w:val="000258A3"/>
    <w:rsid w:val="00025A65"/>
    <w:rsid w:val="00026147"/>
    <w:rsid w:val="000264EB"/>
    <w:rsid w:val="0002688B"/>
    <w:rsid w:val="00026C31"/>
    <w:rsid w:val="00027280"/>
    <w:rsid w:val="0003081A"/>
    <w:rsid w:val="00031B61"/>
    <w:rsid w:val="00031D57"/>
    <w:rsid w:val="000320A7"/>
    <w:rsid w:val="00032AA5"/>
    <w:rsid w:val="000333DC"/>
    <w:rsid w:val="00033F18"/>
    <w:rsid w:val="000347AF"/>
    <w:rsid w:val="00035426"/>
    <w:rsid w:val="00035925"/>
    <w:rsid w:val="0003621A"/>
    <w:rsid w:val="0003633A"/>
    <w:rsid w:val="00036BB7"/>
    <w:rsid w:val="00040E69"/>
    <w:rsid w:val="0004129F"/>
    <w:rsid w:val="000414E4"/>
    <w:rsid w:val="00041E59"/>
    <w:rsid w:val="000442E9"/>
    <w:rsid w:val="00044B9C"/>
    <w:rsid w:val="000454A3"/>
    <w:rsid w:val="00045A65"/>
    <w:rsid w:val="000479A6"/>
    <w:rsid w:val="00050455"/>
    <w:rsid w:val="000504B1"/>
    <w:rsid w:val="000514B4"/>
    <w:rsid w:val="00051A36"/>
    <w:rsid w:val="00051B30"/>
    <w:rsid w:val="00051F23"/>
    <w:rsid w:val="00052755"/>
    <w:rsid w:val="000530AF"/>
    <w:rsid w:val="000538D0"/>
    <w:rsid w:val="00053CF3"/>
    <w:rsid w:val="00053E07"/>
    <w:rsid w:val="00055E3F"/>
    <w:rsid w:val="00056213"/>
    <w:rsid w:val="00056A93"/>
    <w:rsid w:val="0005709B"/>
    <w:rsid w:val="000575EF"/>
    <w:rsid w:val="000576D2"/>
    <w:rsid w:val="00057E2B"/>
    <w:rsid w:val="000606E1"/>
    <w:rsid w:val="00061610"/>
    <w:rsid w:val="00061FB3"/>
    <w:rsid w:val="00062667"/>
    <w:rsid w:val="00062DDB"/>
    <w:rsid w:val="000634D5"/>
    <w:rsid w:val="00063C8C"/>
    <w:rsid w:val="000643E0"/>
    <w:rsid w:val="000656F5"/>
    <w:rsid w:val="00065987"/>
    <w:rsid w:val="0006602E"/>
    <w:rsid w:val="00066AEB"/>
    <w:rsid w:val="00066DE7"/>
    <w:rsid w:val="00067427"/>
    <w:rsid w:val="00067646"/>
    <w:rsid w:val="00067A9A"/>
    <w:rsid w:val="00067CDF"/>
    <w:rsid w:val="00070CD1"/>
    <w:rsid w:val="00071441"/>
    <w:rsid w:val="00072CB7"/>
    <w:rsid w:val="00073A6C"/>
    <w:rsid w:val="0007486F"/>
    <w:rsid w:val="000748DC"/>
    <w:rsid w:val="00074FBE"/>
    <w:rsid w:val="00075A9D"/>
    <w:rsid w:val="000769EE"/>
    <w:rsid w:val="00080168"/>
    <w:rsid w:val="000802F4"/>
    <w:rsid w:val="0008052E"/>
    <w:rsid w:val="000806B0"/>
    <w:rsid w:val="00080B45"/>
    <w:rsid w:val="000812F0"/>
    <w:rsid w:val="0008148B"/>
    <w:rsid w:val="000820E7"/>
    <w:rsid w:val="000825F3"/>
    <w:rsid w:val="00082652"/>
    <w:rsid w:val="00083A09"/>
    <w:rsid w:val="00083F54"/>
    <w:rsid w:val="00085382"/>
    <w:rsid w:val="00085B78"/>
    <w:rsid w:val="00085D75"/>
    <w:rsid w:val="00085ED1"/>
    <w:rsid w:val="000870AC"/>
    <w:rsid w:val="00087112"/>
    <w:rsid w:val="0009005E"/>
    <w:rsid w:val="0009072A"/>
    <w:rsid w:val="00090D84"/>
    <w:rsid w:val="00092705"/>
    <w:rsid w:val="00092792"/>
    <w:rsid w:val="00092857"/>
    <w:rsid w:val="000930E6"/>
    <w:rsid w:val="00093599"/>
    <w:rsid w:val="000937EA"/>
    <w:rsid w:val="00093CE5"/>
    <w:rsid w:val="000955E8"/>
    <w:rsid w:val="00095DE4"/>
    <w:rsid w:val="000968C8"/>
    <w:rsid w:val="00096F2A"/>
    <w:rsid w:val="0009790B"/>
    <w:rsid w:val="000A066C"/>
    <w:rsid w:val="000A15C2"/>
    <w:rsid w:val="000A196C"/>
    <w:rsid w:val="000A1A67"/>
    <w:rsid w:val="000A20A9"/>
    <w:rsid w:val="000A23F7"/>
    <w:rsid w:val="000A3D7B"/>
    <w:rsid w:val="000A4184"/>
    <w:rsid w:val="000A48B1"/>
    <w:rsid w:val="000A5278"/>
    <w:rsid w:val="000A5FAB"/>
    <w:rsid w:val="000A61D7"/>
    <w:rsid w:val="000A6928"/>
    <w:rsid w:val="000A6953"/>
    <w:rsid w:val="000A6CC5"/>
    <w:rsid w:val="000B0A54"/>
    <w:rsid w:val="000B0DA7"/>
    <w:rsid w:val="000B1A30"/>
    <w:rsid w:val="000B1FC3"/>
    <w:rsid w:val="000B2283"/>
    <w:rsid w:val="000B2A1B"/>
    <w:rsid w:val="000B3143"/>
    <w:rsid w:val="000B34D6"/>
    <w:rsid w:val="000B5482"/>
    <w:rsid w:val="000B57C1"/>
    <w:rsid w:val="000B5CAB"/>
    <w:rsid w:val="000B5F45"/>
    <w:rsid w:val="000B6275"/>
    <w:rsid w:val="000B638B"/>
    <w:rsid w:val="000B6979"/>
    <w:rsid w:val="000B6C0F"/>
    <w:rsid w:val="000B6E5F"/>
    <w:rsid w:val="000B7A97"/>
    <w:rsid w:val="000B7E75"/>
    <w:rsid w:val="000C0E87"/>
    <w:rsid w:val="000C0F40"/>
    <w:rsid w:val="000C1C5A"/>
    <w:rsid w:val="000C2A72"/>
    <w:rsid w:val="000C34B3"/>
    <w:rsid w:val="000C40D1"/>
    <w:rsid w:val="000C449D"/>
    <w:rsid w:val="000C4D2A"/>
    <w:rsid w:val="000C63BC"/>
    <w:rsid w:val="000C6B05"/>
    <w:rsid w:val="000C6DD6"/>
    <w:rsid w:val="000C6FCE"/>
    <w:rsid w:val="000C7147"/>
    <w:rsid w:val="000C73D4"/>
    <w:rsid w:val="000C7D70"/>
    <w:rsid w:val="000C7F76"/>
    <w:rsid w:val="000D015F"/>
    <w:rsid w:val="000D116B"/>
    <w:rsid w:val="000D1D5E"/>
    <w:rsid w:val="000D2AFD"/>
    <w:rsid w:val="000D3325"/>
    <w:rsid w:val="000D3D4C"/>
    <w:rsid w:val="000D4F51"/>
    <w:rsid w:val="000D62BA"/>
    <w:rsid w:val="000D718B"/>
    <w:rsid w:val="000D7D03"/>
    <w:rsid w:val="000E0C46"/>
    <w:rsid w:val="000E0D93"/>
    <w:rsid w:val="000E1BEF"/>
    <w:rsid w:val="000E1D54"/>
    <w:rsid w:val="000E1D88"/>
    <w:rsid w:val="000E2431"/>
    <w:rsid w:val="000E2F94"/>
    <w:rsid w:val="000E3DB7"/>
    <w:rsid w:val="000E7208"/>
    <w:rsid w:val="000F030C"/>
    <w:rsid w:val="000F129C"/>
    <w:rsid w:val="000F1885"/>
    <w:rsid w:val="000F1AA5"/>
    <w:rsid w:val="000F1FA0"/>
    <w:rsid w:val="000F21A4"/>
    <w:rsid w:val="000F3910"/>
    <w:rsid w:val="000F4B57"/>
    <w:rsid w:val="000F4D0A"/>
    <w:rsid w:val="000F700D"/>
    <w:rsid w:val="000F7E43"/>
    <w:rsid w:val="00100104"/>
    <w:rsid w:val="0010026F"/>
    <w:rsid w:val="001008BC"/>
    <w:rsid w:val="00100DA3"/>
    <w:rsid w:val="001016C2"/>
    <w:rsid w:val="001017B1"/>
    <w:rsid w:val="0010293F"/>
    <w:rsid w:val="00102B21"/>
    <w:rsid w:val="00103181"/>
    <w:rsid w:val="00104080"/>
    <w:rsid w:val="0010422A"/>
    <w:rsid w:val="00104FE6"/>
    <w:rsid w:val="00105189"/>
    <w:rsid w:val="001052A2"/>
    <w:rsid w:val="001055EA"/>
    <w:rsid w:val="001056DE"/>
    <w:rsid w:val="00105A80"/>
    <w:rsid w:val="00105CBF"/>
    <w:rsid w:val="00105FE4"/>
    <w:rsid w:val="00106298"/>
    <w:rsid w:val="00107AE1"/>
    <w:rsid w:val="00107C6E"/>
    <w:rsid w:val="00107C72"/>
    <w:rsid w:val="00110687"/>
    <w:rsid w:val="00110947"/>
    <w:rsid w:val="0011114A"/>
    <w:rsid w:val="00112494"/>
    <w:rsid w:val="001124C0"/>
    <w:rsid w:val="001127E3"/>
    <w:rsid w:val="00112DD7"/>
    <w:rsid w:val="001149D2"/>
    <w:rsid w:val="00115A63"/>
    <w:rsid w:val="00116108"/>
    <w:rsid w:val="001165EA"/>
    <w:rsid w:val="00116AAE"/>
    <w:rsid w:val="00117990"/>
    <w:rsid w:val="001200EA"/>
    <w:rsid w:val="00120E8F"/>
    <w:rsid w:val="00121FD4"/>
    <w:rsid w:val="001220CC"/>
    <w:rsid w:val="00122406"/>
    <w:rsid w:val="001229A0"/>
    <w:rsid w:val="00124656"/>
    <w:rsid w:val="00124D8B"/>
    <w:rsid w:val="00125193"/>
    <w:rsid w:val="00125A64"/>
    <w:rsid w:val="00125D75"/>
    <w:rsid w:val="00127421"/>
    <w:rsid w:val="00127B44"/>
    <w:rsid w:val="0013175F"/>
    <w:rsid w:val="0013188D"/>
    <w:rsid w:val="001321B0"/>
    <w:rsid w:val="00132797"/>
    <w:rsid w:val="00133030"/>
    <w:rsid w:val="001330DC"/>
    <w:rsid w:val="00133C4C"/>
    <w:rsid w:val="001340A4"/>
    <w:rsid w:val="00134197"/>
    <w:rsid w:val="00134E20"/>
    <w:rsid w:val="00135932"/>
    <w:rsid w:val="00136456"/>
    <w:rsid w:val="001376B7"/>
    <w:rsid w:val="00137C18"/>
    <w:rsid w:val="001400A1"/>
    <w:rsid w:val="001413AA"/>
    <w:rsid w:val="001420E0"/>
    <w:rsid w:val="001421B3"/>
    <w:rsid w:val="0014239A"/>
    <w:rsid w:val="0014248F"/>
    <w:rsid w:val="001436E6"/>
    <w:rsid w:val="0014374F"/>
    <w:rsid w:val="00143D66"/>
    <w:rsid w:val="00144579"/>
    <w:rsid w:val="0014566F"/>
    <w:rsid w:val="00145747"/>
    <w:rsid w:val="00145B39"/>
    <w:rsid w:val="00146362"/>
    <w:rsid w:val="00146E8E"/>
    <w:rsid w:val="001476BA"/>
    <w:rsid w:val="00147C9E"/>
    <w:rsid w:val="00150043"/>
    <w:rsid w:val="0015083C"/>
    <w:rsid w:val="001512B4"/>
    <w:rsid w:val="0015150E"/>
    <w:rsid w:val="0015287B"/>
    <w:rsid w:val="001529A4"/>
    <w:rsid w:val="0015316A"/>
    <w:rsid w:val="00153878"/>
    <w:rsid w:val="00153E6F"/>
    <w:rsid w:val="00154ADA"/>
    <w:rsid w:val="00156FBC"/>
    <w:rsid w:val="00160371"/>
    <w:rsid w:val="001606B5"/>
    <w:rsid w:val="00160EFE"/>
    <w:rsid w:val="00161A33"/>
    <w:rsid w:val="00161CE4"/>
    <w:rsid w:val="001620A5"/>
    <w:rsid w:val="0016430D"/>
    <w:rsid w:val="00164A39"/>
    <w:rsid w:val="00164E53"/>
    <w:rsid w:val="00165056"/>
    <w:rsid w:val="00165694"/>
    <w:rsid w:val="001656D0"/>
    <w:rsid w:val="00165981"/>
    <w:rsid w:val="0016699D"/>
    <w:rsid w:val="00166BDB"/>
    <w:rsid w:val="00167B95"/>
    <w:rsid w:val="00170545"/>
    <w:rsid w:val="001711CF"/>
    <w:rsid w:val="001717A8"/>
    <w:rsid w:val="0017391E"/>
    <w:rsid w:val="00173ACD"/>
    <w:rsid w:val="00173B8B"/>
    <w:rsid w:val="001743C0"/>
    <w:rsid w:val="00174722"/>
    <w:rsid w:val="001748B7"/>
    <w:rsid w:val="00175159"/>
    <w:rsid w:val="00175F0C"/>
    <w:rsid w:val="00176208"/>
    <w:rsid w:val="00176B49"/>
    <w:rsid w:val="001772A8"/>
    <w:rsid w:val="0017734F"/>
    <w:rsid w:val="00177BA7"/>
    <w:rsid w:val="001815AA"/>
    <w:rsid w:val="0018171F"/>
    <w:rsid w:val="0018211B"/>
    <w:rsid w:val="0018280D"/>
    <w:rsid w:val="00182A66"/>
    <w:rsid w:val="00183EE6"/>
    <w:rsid w:val="001840D3"/>
    <w:rsid w:val="001843ED"/>
    <w:rsid w:val="00184EB3"/>
    <w:rsid w:val="0018585C"/>
    <w:rsid w:val="00187CBD"/>
    <w:rsid w:val="001900E7"/>
    <w:rsid w:val="001900F8"/>
    <w:rsid w:val="00191258"/>
    <w:rsid w:val="00191451"/>
    <w:rsid w:val="00192680"/>
    <w:rsid w:val="0019286E"/>
    <w:rsid w:val="00192CD7"/>
    <w:rsid w:val="00192F11"/>
    <w:rsid w:val="00193037"/>
    <w:rsid w:val="00193477"/>
    <w:rsid w:val="00193A2C"/>
    <w:rsid w:val="00193EDF"/>
    <w:rsid w:val="001942B9"/>
    <w:rsid w:val="0019557E"/>
    <w:rsid w:val="00195F36"/>
    <w:rsid w:val="00196742"/>
    <w:rsid w:val="00197377"/>
    <w:rsid w:val="001A0C9C"/>
    <w:rsid w:val="001A0F6F"/>
    <w:rsid w:val="001A12EA"/>
    <w:rsid w:val="001A1C16"/>
    <w:rsid w:val="001A1ED1"/>
    <w:rsid w:val="001A288E"/>
    <w:rsid w:val="001A2BCD"/>
    <w:rsid w:val="001A2FFA"/>
    <w:rsid w:val="001A3976"/>
    <w:rsid w:val="001A3EB1"/>
    <w:rsid w:val="001A44BD"/>
    <w:rsid w:val="001A57BC"/>
    <w:rsid w:val="001A5965"/>
    <w:rsid w:val="001A61F0"/>
    <w:rsid w:val="001A63BA"/>
    <w:rsid w:val="001A7A65"/>
    <w:rsid w:val="001B12FA"/>
    <w:rsid w:val="001B13C8"/>
    <w:rsid w:val="001B211D"/>
    <w:rsid w:val="001B33D7"/>
    <w:rsid w:val="001B3BB9"/>
    <w:rsid w:val="001B3BC2"/>
    <w:rsid w:val="001B43D2"/>
    <w:rsid w:val="001B4810"/>
    <w:rsid w:val="001B5156"/>
    <w:rsid w:val="001B6DC2"/>
    <w:rsid w:val="001B7094"/>
    <w:rsid w:val="001B7E69"/>
    <w:rsid w:val="001C006F"/>
    <w:rsid w:val="001C149C"/>
    <w:rsid w:val="001C1544"/>
    <w:rsid w:val="001C182D"/>
    <w:rsid w:val="001C1919"/>
    <w:rsid w:val="001C21AC"/>
    <w:rsid w:val="001C2712"/>
    <w:rsid w:val="001C2780"/>
    <w:rsid w:val="001C2805"/>
    <w:rsid w:val="001C34C2"/>
    <w:rsid w:val="001C3532"/>
    <w:rsid w:val="001C36AE"/>
    <w:rsid w:val="001C4231"/>
    <w:rsid w:val="001C47BA"/>
    <w:rsid w:val="001C5074"/>
    <w:rsid w:val="001C5577"/>
    <w:rsid w:val="001C57FB"/>
    <w:rsid w:val="001C59EA"/>
    <w:rsid w:val="001C61A2"/>
    <w:rsid w:val="001C6899"/>
    <w:rsid w:val="001C7CCB"/>
    <w:rsid w:val="001D049D"/>
    <w:rsid w:val="001D08C7"/>
    <w:rsid w:val="001D102C"/>
    <w:rsid w:val="001D11C4"/>
    <w:rsid w:val="001D1751"/>
    <w:rsid w:val="001D34B5"/>
    <w:rsid w:val="001D36AD"/>
    <w:rsid w:val="001D3FC4"/>
    <w:rsid w:val="001D406C"/>
    <w:rsid w:val="001D41EE"/>
    <w:rsid w:val="001D4966"/>
    <w:rsid w:val="001D4D45"/>
    <w:rsid w:val="001D5A62"/>
    <w:rsid w:val="001D60A6"/>
    <w:rsid w:val="001D6442"/>
    <w:rsid w:val="001D6C8B"/>
    <w:rsid w:val="001D7001"/>
    <w:rsid w:val="001E0380"/>
    <w:rsid w:val="001E0AB0"/>
    <w:rsid w:val="001E13B1"/>
    <w:rsid w:val="001E30B8"/>
    <w:rsid w:val="001E346A"/>
    <w:rsid w:val="001E3C83"/>
    <w:rsid w:val="001E415D"/>
    <w:rsid w:val="001E48BA"/>
    <w:rsid w:val="001E51A4"/>
    <w:rsid w:val="001E6256"/>
    <w:rsid w:val="001E7934"/>
    <w:rsid w:val="001F01D9"/>
    <w:rsid w:val="001F0A38"/>
    <w:rsid w:val="001F14A7"/>
    <w:rsid w:val="001F1510"/>
    <w:rsid w:val="001F1A5A"/>
    <w:rsid w:val="001F3808"/>
    <w:rsid w:val="001F3A19"/>
    <w:rsid w:val="001F4017"/>
    <w:rsid w:val="001F5535"/>
    <w:rsid w:val="001F5A6F"/>
    <w:rsid w:val="00200295"/>
    <w:rsid w:val="00200678"/>
    <w:rsid w:val="00200B84"/>
    <w:rsid w:val="00200D18"/>
    <w:rsid w:val="002014F3"/>
    <w:rsid w:val="00201993"/>
    <w:rsid w:val="002019D5"/>
    <w:rsid w:val="00201A7C"/>
    <w:rsid w:val="002028FF"/>
    <w:rsid w:val="00202AA1"/>
    <w:rsid w:val="00203037"/>
    <w:rsid w:val="002031B7"/>
    <w:rsid w:val="00203428"/>
    <w:rsid w:val="00203AAD"/>
    <w:rsid w:val="00203BE3"/>
    <w:rsid w:val="002049BE"/>
    <w:rsid w:val="00204ED4"/>
    <w:rsid w:val="00207F14"/>
    <w:rsid w:val="00210C02"/>
    <w:rsid w:val="00210D06"/>
    <w:rsid w:val="0021155A"/>
    <w:rsid w:val="0021180B"/>
    <w:rsid w:val="00211F17"/>
    <w:rsid w:val="002121A3"/>
    <w:rsid w:val="00214691"/>
    <w:rsid w:val="00215A85"/>
    <w:rsid w:val="00215B0A"/>
    <w:rsid w:val="00216014"/>
    <w:rsid w:val="00216A60"/>
    <w:rsid w:val="00216C6C"/>
    <w:rsid w:val="00216DA6"/>
    <w:rsid w:val="00217291"/>
    <w:rsid w:val="002205AD"/>
    <w:rsid w:val="002206B7"/>
    <w:rsid w:val="00220A03"/>
    <w:rsid w:val="00221A65"/>
    <w:rsid w:val="002221C5"/>
    <w:rsid w:val="00222295"/>
    <w:rsid w:val="00223CEA"/>
    <w:rsid w:val="002244E1"/>
    <w:rsid w:val="00224681"/>
    <w:rsid w:val="00224D46"/>
    <w:rsid w:val="0022563E"/>
    <w:rsid w:val="00226003"/>
    <w:rsid w:val="0022629E"/>
    <w:rsid w:val="00230006"/>
    <w:rsid w:val="0023076A"/>
    <w:rsid w:val="0023113A"/>
    <w:rsid w:val="002311D8"/>
    <w:rsid w:val="0023294F"/>
    <w:rsid w:val="00232B1F"/>
    <w:rsid w:val="00233C28"/>
    <w:rsid w:val="00233FD7"/>
    <w:rsid w:val="00234273"/>
    <w:rsid w:val="00234467"/>
    <w:rsid w:val="00234654"/>
    <w:rsid w:val="0023617F"/>
    <w:rsid w:val="002370E8"/>
    <w:rsid w:val="00237441"/>
    <w:rsid w:val="00237D8D"/>
    <w:rsid w:val="00241DA2"/>
    <w:rsid w:val="00242EBA"/>
    <w:rsid w:val="002437DA"/>
    <w:rsid w:val="00243D1D"/>
    <w:rsid w:val="0024464F"/>
    <w:rsid w:val="00245426"/>
    <w:rsid w:val="00245A0C"/>
    <w:rsid w:val="00246543"/>
    <w:rsid w:val="0024684C"/>
    <w:rsid w:val="00246FE3"/>
    <w:rsid w:val="00247FEE"/>
    <w:rsid w:val="00250E7D"/>
    <w:rsid w:val="00250EF6"/>
    <w:rsid w:val="00251BDD"/>
    <w:rsid w:val="00252A80"/>
    <w:rsid w:val="00253156"/>
    <w:rsid w:val="00253952"/>
    <w:rsid w:val="002539C1"/>
    <w:rsid w:val="00253D69"/>
    <w:rsid w:val="002541A6"/>
    <w:rsid w:val="002544EE"/>
    <w:rsid w:val="00254D2A"/>
    <w:rsid w:val="002565D5"/>
    <w:rsid w:val="00257675"/>
    <w:rsid w:val="00257FA5"/>
    <w:rsid w:val="00260150"/>
    <w:rsid w:val="002601B5"/>
    <w:rsid w:val="00260898"/>
    <w:rsid w:val="00260A80"/>
    <w:rsid w:val="00260EC9"/>
    <w:rsid w:val="002613A7"/>
    <w:rsid w:val="002622C0"/>
    <w:rsid w:val="0026296F"/>
    <w:rsid w:val="002643AB"/>
    <w:rsid w:val="00264596"/>
    <w:rsid w:val="00264FF1"/>
    <w:rsid w:val="0026629A"/>
    <w:rsid w:val="00266369"/>
    <w:rsid w:val="0026656F"/>
    <w:rsid w:val="00267773"/>
    <w:rsid w:val="00267EC1"/>
    <w:rsid w:val="0027022C"/>
    <w:rsid w:val="002714BF"/>
    <w:rsid w:val="00271B35"/>
    <w:rsid w:val="00274820"/>
    <w:rsid w:val="00275E37"/>
    <w:rsid w:val="0027628F"/>
    <w:rsid w:val="00276C29"/>
    <w:rsid w:val="002772E2"/>
    <w:rsid w:val="002778AE"/>
    <w:rsid w:val="00277E72"/>
    <w:rsid w:val="00281E88"/>
    <w:rsid w:val="0028269A"/>
    <w:rsid w:val="00282732"/>
    <w:rsid w:val="00282ADB"/>
    <w:rsid w:val="00282E13"/>
    <w:rsid w:val="00283590"/>
    <w:rsid w:val="00283917"/>
    <w:rsid w:val="00283E25"/>
    <w:rsid w:val="0028437B"/>
    <w:rsid w:val="0028485E"/>
    <w:rsid w:val="00284B14"/>
    <w:rsid w:val="00284FBF"/>
    <w:rsid w:val="002853BE"/>
    <w:rsid w:val="0028568F"/>
    <w:rsid w:val="0028595C"/>
    <w:rsid w:val="002865A8"/>
    <w:rsid w:val="00286973"/>
    <w:rsid w:val="00287202"/>
    <w:rsid w:val="0028722F"/>
    <w:rsid w:val="0028767E"/>
    <w:rsid w:val="00287E63"/>
    <w:rsid w:val="00290B58"/>
    <w:rsid w:val="0029236C"/>
    <w:rsid w:val="002923CD"/>
    <w:rsid w:val="0029249E"/>
    <w:rsid w:val="00293698"/>
    <w:rsid w:val="00294389"/>
    <w:rsid w:val="00294E70"/>
    <w:rsid w:val="00295F39"/>
    <w:rsid w:val="00296145"/>
    <w:rsid w:val="002970C0"/>
    <w:rsid w:val="00297598"/>
    <w:rsid w:val="00297AF3"/>
    <w:rsid w:val="00297CC1"/>
    <w:rsid w:val="002A04B3"/>
    <w:rsid w:val="002A0B21"/>
    <w:rsid w:val="002A1924"/>
    <w:rsid w:val="002A2036"/>
    <w:rsid w:val="002A42BB"/>
    <w:rsid w:val="002A4384"/>
    <w:rsid w:val="002A55BB"/>
    <w:rsid w:val="002A58C9"/>
    <w:rsid w:val="002A61DF"/>
    <w:rsid w:val="002A62A3"/>
    <w:rsid w:val="002A6F47"/>
    <w:rsid w:val="002A7420"/>
    <w:rsid w:val="002A746D"/>
    <w:rsid w:val="002A7663"/>
    <w:rsid w:val="002A7826"/>
    <w:rsid w:val="002A7865"/>
    <w:rsid w:val="002A7A6D"/>
    <w:rsid w:val="002B0F12"/>
    <w:rsid w:val="002B105F"/>
    <w:rsid w:val="002B1308"/>
    <w:rsid w:val="002B132F"/>
    <w:rsid w:val="002B1C6D"/>
    <w:rsid w:val="002B30A5"/>
    <w:rsid w:val="002B4554"/>
    <w:rsid w:val="002B4800"/>
    <w:rsid w:val="002B48A2"/>
    <w:rsid w:val="002B4A6F"/>
    <w:rsid w:val="002B4B3B"/>
    <w:rsid w:val="002B4DBF"/>
    <w:rsid w:val="002B5CEA"/>
    <w:rsid w:val="002B7F45"/>
    <w:rsid w:val="002C017E"/>
    <w:rsid w:val="002C1142"/>
    <w:rsid w:val="002C303A"/>
    <w:rsid w:val="002C30BE"/>
    <w:rsid w:val="002C3913"/>
    <w:rsid w:val="002C484E"/>
    <w:rsid w:val="002C5842"/>
    <w:rsid w:val="002C5AAD"/>
    <w:rsid w:val="002C5CE1"/>
    <w:rsid w:val="002C72BE"/>
    <w:rsid w:val="002C72D8"/>
    <w:rsid w:val="002C7563"/>
    <w:rsid w:val="002C7D6C"/>
    <w:rsid w:val="002D00A4"/>
    <w:rsid w:val="002D04D5"/>
    <w:rsid w:val="002D064F"/>
    <w:rsid w:val="002D0968"/>
    <w:rsid w:val="002D11FA"/>
    <w:rsid w:val="002D15F7"/>
    <w:rsid w:val="002D1EBB"/>
    <w:rsid w:val="002D1FD3"/>
    <w:rsid w:val="002D208C"/>
    <w:rsid w:val="002D2336"/>
    <w:rsid w:val="002D25D6"/>
    <w:rsid w:val="002D2D3E"/>
    <w:rsid w:val="002D3291"/>
    <w:rsid w:val="002D3A66"/>
    <w:rsid w:val="002D4126"/>
    <w:rsid w:val="002D434A"/>
    <w:rsid w:val="002D6390"/>
    <w:rsid w:val="002D68E8"/>
    <w:rsid w:val="002D694E"/>
    <w:rsid w:val="002D6D26"/>
    <w:rsid w:val="002D7D10"/>
    <w:rsid w:val="002E0860"/>
    <w:rsid w:val="002E0DDF"/>
    <w:rsid w:val="002E25C8"/>
    <w:rsid w:val="002E28DE"/>
    <w:rsid w:val="002E2906"/>
    <w:rsid w:val="002E29BA"/>
    <w:rsid w:val="002E3131"/>
    <w:rsid w:val="002E333C"/>
    <w:rsid w:val="002E4231"/>
    <w:rsid w:val="002E427B"/>
    <w:rsid w:val="002E4B4F"/>
    <w:rsid w:val="002E5556"/>
    <w:rsid w:val="002E5635"/>
    <w:rsid w:val="002E57F1"/>
    <w:rsid w:val="002E5C2F"/>
    <w:rsid w:val="002E6270"/>
    <w:rsid w:val="002E64C3"/>
    <w:rsid w:val="002E6A2C"/>
    <w:rsid w:val="002E6AA2"/>
    <w:rsid w:val="002E6E6C"/>
    <w:rsid w:val="002F0587"/>
    <w:rsid w:val="002F195D"/>
    <w:rsid w:val="002F1D8C"/>
    <w:rsid w:val="002F21DA"/>
    <w:rsid w:val="002F257B"/>
    <w:rsid w:val="002F27E9"/>
    <w:rsid w:val="002F2910"/>
    <w:rsid w:val="002F4464"/>
    <w:rsid w:val="002F4668"/>
    <w:rsid w:val="002F46EB"/>
    <w:rsid w:val="002F4711"/>
    <w:rsid w:val="002F50D4"/>
    <w:rsid w:val="002F605F"/>
    <w:rsid w:val="002F67A3"/>
    <w:rsid w:val="002F73DA"/>
    <w:rsid w:val="002F7D3A"/>
    <w:rsid w:val="00300BB1"/>
    <w:rsid w:val="00300C25"/>
    <w:rsid w:val="00300DD7"/>
    <w:rsid w:val="00301F39"/>
    <w:rsid w:val="0030202D"/>
    <w:rsid w:val="00302220"/>
    <w:rsid w:val="00304489"/>
    <w:rsid w:val="00304CE9"/>
    <w:rsid w:val="003055BD"/>
    <w:rsid w:val="0030563B"/>
    <w:rsid w:val="00305B81"/>
    <w:rsid w:val="0030602A"/>
    <w:rsid w:val="00306A19"/>
    <w:rsid w:val="003076C9"/>
    <w:rsid w:val="00307C4B"/>
    <w:rsid w:val="00310108"/>
    <w:rsid w:val="00310D55"/>
    <w:rsid w:val="0031128E"/>
    <w:rsid w:val="003112E3"/>
    <w:rsid w:val="003114FE"/>
    <w:rsid w:val="00311CE2"/>
    <w:rsid w:val="00316361"/>
    <w:rsid w:val="00316750"/>
    <w:rsid w:val="003171FB"/>
    <w:rsid w:val="00317C0C"/>
    <w:rsid w:val="0032012C"/>
    <w:rsid w:val="00321940"/>
    <w:rsid w:val="00322370"/>
    <w:rsid w:val="00322861"/>
    <w:rsid w:val="00322C33"/>
    <w:rsid w:val="00322F6C"/>
    <w:rsid w:val="00323682"/>
    <w:rsid w:val="003237F8"/>
    <w:rsid w:val="00323CA1"/>
    <w:rsid w:val="003241EF"/>
    <w:rsid w:val="00324E80"/>
    <w:rsid w:val="00324F71"/>
    <w:rsid w:val="00325822"/>
    <w:rsid w:val="0032591D"/>
    <w:rsid w:val="00325926"/>
    <w:rsid w:val="00325F33"/>
    <w:rsid w:val="003262D0"/>
    <w:rsid w:val="00326D6D"/>
    <w:rsid w:val="00327A8A"/>
    <w:rsid w:val="0033101E"/>
    <w:rsid w:val="00331768"/>
    <w:rsid w:val="00331936"/>
    <w:rsid w:val="003319D1"/>
    <w:rsid w:val="00331AAE"/>
    <w:rsid w:val="00331FA9"/>
    <w:rsid w:val="00333B5A"/>
    <w:rsid w:val="00333F2F"/>
    <w:rsid w:val="003341E2"/>
    <w:rsid w:val="00335177"/>
    <w:rsid w:val="0033526D"/>
    <w:rsid w:val="00335E9B"/>
    <w:rsid w:val="0033622D"/>
    <w:rsid w:val="00336610"/>
    <w:rsid w:val="00336B7D"/>
    <w:rsid w:val="00337F23"/>
    <w:rsid w:val="003401F1"/>
    <w:rsid w:val="00341CF9"/>
    <w:rsid w:val="00342779"/>
    <w:rsid w:val="00343131"/>
    <w:rsid w:val="00343133"/>
    <w:rsid w:val="00343E5D"/>
    <w:rsid w:val="00343F73"/>
    <w:rsid w:val="00344B2B"/>
    <w:rsid w:val="00344B4B"/>
    <w:rsid w:val="00345060"/>
    <w:rsid w:val="0034579F"/>
    <w:rsid w:val="003474B3"/>
    <w:rsid w:val="00347589"/>
    <w:rsid w:val="0035323B"/>
    <w:rsid w:val="0035339F"/>
    <w:rsid w:val="00353721"/>
    <w:rsid w:val="00353C0A"/>
    <w:rsid w:val="0035455D"/>
    <w:rsid w:val="00354577"/>
    <w:rsid w:val="00354C76"/>
    <w:rsid w:val="00354FC8"/>
    <w:rsid w:val="003551BD"/>
    <w:rsid w:val="0035546E"/>
    <w:rsid w:val="0035585C"/>
    <w:rsid w:val="00356AFF"/>
    <w:rsid w:val="00356DDB"/>
    <w:rsid w:val="00357363"/>
    <w:rsid w:val="003574C2"/>
    <w:rsid w:val="0035790B"/>
    <w:rsid w:val="00360361"/>
    <w:rsid w:val="003606C5"/>
    <w:rsid w:val="003609D2"/>
    <w:rsid w:val="00360CEA"/>
    <w:rsid w:val="003634AD"/>
    <w:rsid w:val="00363B35"/>
    <w:rsid w:val="00363F22"/>
    <w:rsid w:val="00364064"/>
    <w:rsid w:val="00364458"/>
    <w:rsid w:val="0036468A"/>
    <w:rsid w:val="0036468C"/>
    <w:rsid w:val="00366F1A"/>
    <w:rsid w:val="00370593"/>
    <w:rsid w:val="003705E8"/>
    <w:rsid w:val="00370C94"/>
    <w:rsid w:val="00370D34"/>
    <w:rsid w:val="00371AA5"/>
    <w:rsid w:val="00372423"/>
    <w:rsid w:val="00372665"/>
    <w:rsid w:val="00372C5E"/>
    <w:rsid w:val="00374EF7"/>
    <w:rsid w:val="00375564"/>
    <w:rsid w:val="00376474"/>
    <w:rsid w:val="00376AF1"/>
    <w:rsid w:val="00377213"/>
    <w:rsid w:val="0038036F"/>
    <w:rsid w:val="0038048D"/>
    <w:rsid w:val="00380687"/>
    <w:rsid w:val="00381359"/>
    <w:rsid w:val="0038141C"/>
    <w:rsid w:val="0038180C"/>
    <w:rsid w:val="00381BFD"/>
    <w:rsid w:val="00382C41"/>
    <w:rsid w:val="00382D6C"/>
    <w:rsid w:val="00383191"/>
    <w:rsid w:val="0038325B"/>
    <w:rsid w:val="00384000"/>
    <w:rsid w:val="00384A85"/>
    <w:rsid w:val="00384D00"/>
    <w:rsid w:val="00384F2D"/>
    <w:rsid w:val="003855D1"/>
    <w:rsid w:val="00385CB0"/>
    <w:rsid w:val="00386BA8"/>
    <w:rsid w:val="00386D71"/>
    <w:rsid w:val="00386DED"/>
    <w:rsid w:val="0038786D"/>
    <w:rsid w:val="00390BA9"/>
    <w:rsid w:val="003912E7"/>
    <w:rsid w:val="00392335"/>
    <w:rsid w:val="00392A86"/>
    <w:rsid w:val="00392CAF"/>
    <w:rsid w:val="00392DDE"/>
    <w:rsid w:val="00393938"/>
    <w:rsid w:val="00393947"/>
    <w:rsid w:val="003943B9"/>
    <w:rsid w:val="00395565"/>
    <w:rsid w:val="00396472"/>
    <w:rsid w:val="00396E8E"/>
    <w:rsid w:val="00397F66"/>
    <w:rsid w:val="00397F96"/>
    <w:rsid w:val="003A1260"/>
    <w:rsid w:val="003A1D9F"/>
    <w:rsid w:val="003A1FB6"/>
    <w:rsid w:val="003A2275"/>
    <w:rsid w:val="003A3F1F"/>
    <w:rsid w:val="003A54F8"/>
    <w:rsid w:val="003A55E0"/>
    <w:rsid w:val="003A568A"/>
    <w:rsid w:val="003A590E"/>
    <w:rsid w:val="003A6A4F"/>
    <w:rsid w:val="003A7088"/>
    <w:rsid w:val="003A7726"/>
    <w:rsid w:val="003A7C2B"/>
    <w:rsid w:val="003A7E9F"/>
    <w:rsid w:val="003B00DF"/>
    <w:rsid w:val="003B01FF"/>
    <w:rsid w:val="003B0983"/>
    <w:rsid w:val="003B0C03"/>
    <w:rsid w:val="003B0F47"/>
    <w:rsid w:val="003B0F82"/>
    <w:rsid w:val="003B1275"/>
    <w:rsid w:val="003B1778"/>
    <w:rsid w:val="003B2144"/>
    <w:rsid w:val="003B23B9"/>
    <w:rsid w:val="003B25AE"/>
    <w:rsid w:val="003B2802"/>
    <w:rsid w:val="003B470D"/>
    <w:rsid w:val="003B4E0C"/>
    <w:rsid w:val="003B4E1E"/>
    <w:rsid w:val="003B7618"/>
    <w:rsid w:val="003C11CB"/>
    <w:rsid w:val="003C1553"/>
    <w:rsid w:val="003C3361"/>
    <w:rsid w:val="003C423D"/>
    <w:rsid w:val="003C447F"/>
    <w:rsid w:val="003C49A7"/>
    <w:rsid w:val="003C5A55"/>
    <w:rsid w:val="003C609B"/>
    <w:rsid w:val="003C642A"/>
    <w:rsid w:val="003C698A"/>
    <w:rsid w:val="003C75F3"/>
    <w:rsid w:val="003C78A3"/>
    <w:rsid w:val="003C79CB"/>
    <w:rsid w:val="003D0495"/>
    <w:rsid w:val="003D1E41"/>
    <w:rsid w:val="003D36CA"/>
    <w:rsid w:val="003D36F3"/>
    <w:rsid w:val="003D3B42"/>
    <w:rsid w:val="003D401E"/>
    <w:rsid w:val="003D42F7"/>
    <w:rsid w:val="003D4D7A"/>
    <w:rsid w:val="003D61A5"/>
    <w:rsid w:val="003D65B1"/>
    <w:rsid w:val="003D7BEC"/>
    <w:rsid w:val="003E0159"/>
    <w:rsid w:val="003E10F8"/>
    <w:rsid w:val="003E1867"/>
    <w:rsid w:val="003E2DA0"/>
    <w:rsid w:val="003E34EA"/>
    <w:rsid w:val="003E44BA"/>
    <w:rsid w:val="003E4645"/>
    <w:rsid w:val="003E50A5"/>
    <w:rsid w:val="003E5729"/>
    <w:rsid w:val="003E5FFB"/>
    <w:rsid w:val="003E7C73"/>
    <w:rsid w:val="003F0730"/>
    <w:rsid w:val="003F0811"/>
    <w:rsid w:val="003F133A"/>
    <w:rsid w:val="003F1346"/>
    <w:rsid w:val="003F15D3"/>
    <w:rsid w:val="003F15EC"/>
    <w:rsid w:val="003F1647"/>
    <w:rsid w:val="003F1BA9"/>
    <w:rsid w:val="003F2A9E"/>
    <w:rsid w:val="003F3074"/>
    <w:rsid w:val="003F45D6"/>
    <w:rsid w:val="003F4EE0"/>
    <w:rsid w:val="003F5381"/>
    <w:rsid w:val="003F55ED"/>
    <w:rsid w:val="003F5969"/>
    <w:rsid w:val="003F596D"/>
    <w:rsid w:val="003F6186"/>
    <w:rsid w:val="003F656C"/>
    <w:rsid w:val="003F710E"/>
    <w:rsid w:val="004006E3"/>
    <w:rsid w:val="0040091C"/>
    <w:rsid w:val="00400FC8"/>
    <w:rsid w:val="00401751"/>
    <w:rsid w:val="00401E9A"/>
    <w:rsid w:val="00402153"/>
    <w:rsid w:val="00402FC1"/>
    <w:rsid w:val="004034D4"/>
    <w:rsid w:val="00403C81"/>
    <w:rsid w:val="004052DE"/>
    <w:rsid w:val="0040546C"/>
    <w:rsid w:val="00405EDD"/>
    <w:rsid w:val="00406540"/>
    <w:rsid w:val="0040732E"/>
    <w:rsid w:val="00407AC5"/>
    <w:rsid w:val="00407C03"/>
    <w:rsid w:val="004101FA"/>
    <w:rsid w:val="00410865"/>
    <w:rsid w:val="0041109E"/>
    <w:rsid w:val="0041261E"/>
    <w:rsid w:val="00412E07"/>
    <w:rsid w:val="004138BA"/>
    <w:rsid w:val="00413D37"/>
    <w:rsid w:val="00414541"/>
    <w:rsid w:val="004153B2"/>
    <w:rsid w:val="00415CE6"/>
    <w:rsid w:val="004166DE"/>
    <w:rsid w:val="00416C44"/>
    <w:rsid w:val="00417574"/>
    <w:rsid w:val="00417C68"/>
    <w:rsid w:val="00421505"/>
    <w:rsid w:val="004218A4"/>
    <w:rsid w:val="004230EC"/>
    <w:rsid w:val="0042328A"/>
    <w:rsid w:val="00423CC1"/>
    <w:rsid w:val="00425082"/>
    <w:rsid w:val="004250CE"/>
    <w:rsid w:val="00425152"/>
    <w:rsid w:val="0042584B"/>
    <w:rsid w:val="0042616C"/>
    <w:rsid w:val="004267E2"/>
    <w:rsid w:val="00426DCA"/>
    <w:rsid w:val="00427835"/>
    <w:rsid w:val="00427D1E"/>
    <w:rsid w:val="004307DE"/>
    <w:rsid w:val="00430CCF"/>
    <w:rsid w:val="00431DEB"/>
    <w:rsid w:val="00431F64"/>
    <w:rsid w:val="004325D2"/>
    <w:rsid w:val="00433335"/>
    <w:rsid w:val="00433ADD"/>
    <w:rsid w:val="00434C8C"/>
    <w:rsid w:val="00434DC6"/>
    <w:rsid w:val="004357DE"/>
    <w:rsid w:val="004358F6"/>
    <w:rsid w:val="004362BC"/>
    <w:rsid w:val="004364A3"/>
    <w:rsid w:val="004378DC"/>
    <w:rsid w:val="00441265"/>
    <w:rsid w:val="00441465"/>
    <w:rsid w:val="00441EE5"/>
    <w:rsid w:val="00442986"/>
    <w:rsid w:val="00442AD6"/>
    <w:rsid w:val="004431A7"/>
    <w:rsid w:val="004436F1"/>
    <w:rsid w:val="004442E2"/>
    <w:rsid w:val="00446B29"/>
    <w:rsid w:val="00447D43"/>
    <w:rsid w:val="0045029D"/>
    <w:rsid w:val="0045058E"/>
    <w:rsid w:val="00450A57"/>
    <w:rsid w:val="00450DB7"/>
    <w:rsid w:val="0045113B"/>
    <w:rsid w:val="00451357"/>
    <w:rsid w:val="00451C71"/>
    <w:rsid w:val="00451F91"/>
    <w:rsid w:val="004529B5"/>
    <w:rsid w:val="00452C4E"/>
    <w:rsid w:val="00453A93"/>
    <w:rsid w:val="00453B1A"/>
    <w:rsid w:val="00453F8C"/>
    <w:rsid w:val="00453F9A"/>
    <w:rsid w:val="00457249"/>
    <w:rsid w:val="00457518"/>
    <w:rsid w:val="00457552"/>
    <w:rsid w:val="00460281"/>
    <w:rsid w:val="00461283"/>
    <w:rsid w:val="00461CD0"/>
    <w:rsid w:val="004624BD"/>
    <w:rsid w:val="00462C86"/>
    <w:rsid w:val="00463A5F"/>
    <w:rsid w:val="004640DF"/>
    <w:rsid w:val="0046422C"/>
    <w:rsid w:val="004648FC"/>
    <w:rsid w:val="004649FF"/>
    <w:rsid w:val="004656F5"/>
    <w:rsid w:val="00465778"/>
    <w:rsid w:val="00466D68"/>
    <w:rsid w:val="00466F50"/>
    <w:rsid w:val="00466FA3"/>
    <w:rsid w:val="00467656"/>
    <w:rsid w:val="00467BD1"/>
    <w:rsid w:val="00470108"/>
    <w:rsid w:val="00470850"/>
    <w:rsid w:val="004709A1"/>
    <w:rsid w:val="00470D79"/>
    <w:rsid w:val="0047103C"/>
    <w:rsid w:val="00471ABC"/>
    <w:rsid w:val="00471C2B"/>
    <w:rsid w:val="00471E91"/>
    <w:rsid w:val="004720B7"/>
    <w:rsid w:val="00474675"/>
    <w:rsid w:val="0047470C"/>
    <w:rsid w:val="00475E15"/>
    <w:rsid w:val="00476980"/>
    <w:rsid w:val="00477312"/>
    <w:rsid w:val="00477C5B"/>
    <w:rsid w:val="004804B5"/>
    <w:rsid w:val="00481513"/>
    <w:rsid w:val="004816EF"/>
    <w:rsid w:val="00482A55"/>
    <w:rsid w:val="00483508"/>
    <w:rsid w:val="00483BF5"/>
    <w:rsid w:val="00483FCA"/>
    <w:rsid w:val="00483FD8"/>
    <w:rsid w:val="00485A58"/>
    <w:rsid w:val="00485BC0"/>
    <w:rsid w:val="00487638"/>
    <w:rsid w:val="0049004D"/>
    <w:rsid w:val="00490E32"/>
    <w:rsid w:val="00491F56"/>
    <w:rsid w:val="00492002"/>
    <w:rsid w:val="0049280C"/>
    <w:rsid w:val="004931B0"/>
    <w:rsid w:val="00493D91"/>
    <w:rsid w:val="00496118"/>
    <w:rsid w:val="0049633A"/>
    <w:rsid w:val="004964AE"/>
    <w:rsid w:val="00496BB2"/>
    <w:rsid w:val="00496FAC"/>
    <w:rsid w:val="004972B1"/>
    <w:rsid w:val="004A0588"/>
    <w:rsid w:val="004A0A5A"/>
    <w:rsid w:val="004A2434"/>
    <w:rsid w:val="004A2D26"/>
    <w:rsid w:val="004A35F9"/>
    <w:rsid w:val="004A3EBB"/>
    <w:rsid w:val="004A3F3A"/>
    <w:rsid w:val="004A5012"/>
    <w:rsid w:val="004A5679"/>
    <w:rsid w:val="004A5F58"/>
    <w:rsid w:val="004A6046"/>
    <w:rsid w:val="004A61D0"/>
    <w:rsid w:val="004A6398"/>
    <w:rsid w:val="004A7929"/>
    <w:rsid w:val="004A797B"/>
    <w:rsid w:val="004A7A55"/>
    <w:rsid w:val="004B1ED1"/>
    <w:rsid w:val="004B24C1"/>
    <w:rsid w:val="004B2E96"/>
    <w:rsid w:val="004B32CB"/>
    <w:rsid w:val="004B3702"/>
    <w:rsid w:val="004B4271"/>
    <w:rsid w:val="004B5079"/>
    <w:rsid w:val="004B521F"/>
    <w:rsid w:val="004B55DB"/>
    <w:rsid w:val="004B64D8"/>
    <w:rsid w:val="004B6E6E"/>
    <w:rsid w:val="004B6F98"/>
    <w:rsid w:val="004B73C7"/>
    <w:rsid w:val="004B756C"/>
    <w:rsid w:val="004C0EC3"/>
    <w:rsid w:val="004C1C52"/>
    <w:rsid w:val="004C292F"/>
    <w:rsid w:val="004C39E8"/>
    <w:rsid w:val="004C4816"/>
    <w:rsid w:val="004C4E4C"/>
    <w:rsid w:val="004C5880"/>
    <w:rsid w:val="004C5DE3"/>
    <w:rsid w:val="004C5ED6"/>
    <w:rsid w:val="004C6F5C"/>
    <w:rsid w:val="004C79C7"/>
    <w:rsid w:val="004C7DFC"/>
    <w:rsid w:val="004D080D"/>
    <w:rsid w:val="004D103C"/>
    <w:rsid w:val="004D141C"/>
    <w:rsid w:val="004D1726"/>
    <w:rsid w:val="004D1BB0"/>
    <w:rsid w:val="004D282C"/>
    <w:rsid w:val="004D3410"/>
    <w:rsid w:val="004D49DF"/>
    <w:rsid w:val="004D4C24"/>
    <w:rsid w:val="004D4ED8"/>
    <w:rsid w:val="004D5932"/>
    <w:rsid w:val="004D5FD6"/>
    <w:rsid w:val="004D6373"/>
    <w:rsid w:val="004D638E"/>
    <w:rsid w:val="004D6587"/>
    <w:rsid w:val="004D68A0"/>
    <w:rsid w:val="004E2707"/>
    <w:rsid w:val="004E281D"/>
    <w:rsid w:val="004E28DD"/>
    <w:rsid w:val="004E2C95"/>
    <w:rsid w:val="004E4088"/>
    <w:rsid w:val="004E4C8F"/>
    <w:rsid w:val="004E521A"/>
    <w:rsid w:val="004E5DC8"/>
    <w:rsid w:val="004E6A75"/>
    <w:rsid w:val="004E6AE2"/>
    <w:rsid w:val="004E7366"/>
    <w:rsid w:val="004E7DA3"/>
    <w:rsid w:val="004F0C56"/>
    <w:rsid w:val="004F1A30"/>
    <w:rsid w:val="004F3F18"/>
    <w:rsid w:val="004F612B"/>
    <w:rsid w:val="004F66B0"/>
    <w:rsid w:val="004F6921"/>
    <w:rsid w:val="004F6FF6"/>
    <w:rsid w:val="0050156E"/>
    <w:rsid w:val="005015A8"/>
    <w:rsid w:val="0050178E"/>
    <w:rsid w:val="00501E3E"/>
    <w:rsid w:val="005022CE"/>
    <w:rsid w:val="00502415"/>
    <w:rsid w:val="00502ADD"/>
    <w:rsid w:val="005030BF"/>
    <w:rsid w:val="005039E1"/>
    <w:rsid w:val="0050652B"/>
    <w:rsid w:val="0050785F"/>
    <w:rsid w:val="00507A06"/>
    <w:rsid w:val="00510280"/>
    <w:rsid w:val="005102B0"/>
    <w:rsid w:val="005104A8"/>
    <w:rsid w:val="00510631"/>
    <w:rsid w:val="00510963"/>
    <w:rsid w:val="0051164E"/>
    <w:rsid w:val="00511770"/>
    <w:rsid w:val="00512A3A"/>
    <w:rsid w:val="00513075"/>
    <w:rsid w:val="00513D73"/>
    <w:rsid w:val="00514A43"/>
    <w:rsid w:val="00514A63"/>
    <w:rsid w:val="00514C64"/>
    <w:rsid w:val="00514D8D"/>
    <w:rsid w:val="00514E39"/>
    <w:rsid w:val="00515058"/>
    <w:rsid w:val="00515261"/>
    <w:rsid w:val="005162BF"/>
    <w:rsid w:val="005174E5"/>
    <w:rsid w:val="005201C9"/>
    <w:rsid w:val="00522393"/>
    <w:rsid w:val="00522620"/>
    <w:rsid w:val="00522D07"/>
    <w:rsid w:val="00522DE6"/>
    <w:rsid w:val="00522DFE"/>
    <w:rsid w:val="00523010"/>
    <w:rsid w:val="005233BC"/>
    <w:rsid w:val="0052475B"/>
    <w:rsid w:val="00524A8D"/>
    <w:rsid w:val="00525656"/>
    <w:rsid w:val="00525C5D"/>
    <w:rsid w:val="00525CFC"/>
    <w:rsid w:val="005261C5"/>
    <w:rsid w:val="005262F1"/>
    <w:rsid w:val="005275C7"/>
    <w:rsid w:val="00527677"/>
    <w:rsid w:val="00530006"/>
    <w:rsid w:val="0053039F"/>
    <w:rsid w:val="00530F55"/>
    <w:rsid w:val="0053117A"/>
    <w:rsid w:val="00531CE3"/>
    <w:rsid w:val="00532403"/>
    <w:rsid w:val="0053343C"/>
    <w:rsid w:val="005345E5"/>
    <w:rsid w:val="00534861"/>
    <w:rsid w:val="00534C02"/>
    <w:rsid w:val="00535EB2"/>
    <w:rsid w:val="0054039A"/>
    <w:rsid w:val="005418BB"/>
    <w:rsid w:val="00541B74"/>
    <w:rsid w:val="0054264B"/>
    <w:rsid w:val="00542E36"/>
    <w:rsid w:val="00543523"/>
    <w:rsid w:val="00543786"/>
    <w:rsid w:val="005447DB"/>
    <w:rsid w:val="0054635B"/>
    <w:rsid w:val="00546F81"/>
    <w:rsid w:val="0054789D"/>
    <w:rsid w:val="00547F74"/>
    <w:rsid w:val="005502B3"/>
    <w:rsid w:val="00550399"/>
    <w:rsid w:val="00550A15"/>
    <w:rsid w:val="00550CCF"/>
    <w:rsid w:val="00551738"/>
    <w:rsid w:val="0055176E"/>
    <w:rsid w:val="00552192"/>
    <w:rsid w:val="0055225C"/>
    <w:rsid w:val="00552CD8"/>
    <w:rsid w:val="0055302D"/>
    <w:rsid w:val="005533D7"/>
    <w:rsid w:val="00554097"/>
    <w:rsid w:val="00554F1D"/>
    <w:rsid w:val="00555513"/>
    <w:rsid w:val="00555917"/>
    <w:rsid w:val="00555A9A"/>
    <w:rsid w:val="0055634B"/>
    <w:rsid w:val="0055709B"/>
    <w:rsid w:val="00560656"/>
    <w:rsid w:val="00560854"/>
    <w:rsid w:val="0056181F"/>
    <w:rsid w:val="00561B7B"/>
    <w:rsid w:val="00563298"/>
    <w:rsid w:val="00563545"/>
    <w:rsid w:val="00564259"/>
    <w:rsid w:val="00564F0B"/>
    <w:rsid w:val="00564F87"/>
    <w:rsid w:val="0056564F"/>
    <w:rsid w:val="00565F5D"/>
    <w:rsid w:val="005660F5"/>
    <w:rsid w:val="0056648E"/>
    <w:rsid w:val="00566F7E"/>
    <w:rsid w:val="00567EEE"/>
    <w:rsid w:val="00570061"/>
    <w:rsid w:val="005703DE"/>
    <w:rsid w:val="0057054C"/>
    <w:rsid w:val="0057185D"/>
    <w:rsid w:val="005741A8"/>
    <w:rsid w:val="00574E5B"/>
    <w:rsid w:val="00575995"/>
    <w:rsid w:val="0057665F"/>
    <w:rsid w:val="0057745A"/>
    <w:rsid w:val="00580306"/>
    <w:rsid w:val="00580425"/>
    <w:rsid w:val="00580B91"/>
    <w:rsid w:val="00580C52"/>
    <w:rsid w:val="00580C98"/>
    <w:rsid w:val="005815C6"/>
    <w:rsid w:val="00582579"/>
    <w:rsid w:val="005831E8"/>
    <w:rsid w:val="00583BDB"/>
    <w:rsid w:val="0058464E"/>
    <w:rsid w:val="00585C6A"/>
    <w:rsid w:val="00586633"/>
    <w:rsid w:val="0058751C"/>
    <w:rsid w:val="0058788B"/>
    <w:rsid w:val="00587B8B"/>
    <w:rsid w:val="005904D5"/>
    <w:rsid w:val="005912F9"/>
    <w:rsid w:val="005916FD"/>
    <w:rsid w:val="0059294B"/>
    <w:rsid w:val="005929B9"/>
    <w:rsid w:val="005931A6"/>
    <w:rsid w:val="00593D96"/>
    <w:rsid w:val="00594261"/>
    <w:rsid w:val="00594877"/>
    <w:rsid w:val="00595A38"/>
    <w:rsid w:val="00596F05"/>
    <w:rsid w:val="005A01CB"/>
    <w:rsid w:val="005A0BC4"/>
    <w:rsid w:val="005A12ED"/>
    <w:rsid w:val="005A164E"/>
    <w:rsid w:val="005A1EFB"/>
    <w:rsid w:val="005A2412"/>
    <w:rsid w:val="005A24CB"/>
    <w:rsid w:val="005A25AF"/>
    <w:rsid w:val="005A2F1C"/>
    <w:rsid w:val="005A3807"/>
    <w:rsid w:val="005A3BB3"/>
    <w:rsid w:val="005A40BC"/>
    <w:rsid w:val="005A413B"/>
    <w:rsid w:val="005A44DF"/>
    <w:rsid w:val="005A4838"/>
    <w:rsid w:val="005A48F7"/>
    <w:rsid w:val="005A4F7F"/>
    <w:rsid w:val="005A58FF"/>
    <w:rsid w:val="005A59B6"/>
    <w:rsid w:val="005A5EAF"/>
    <w:rsid w:val="005A6112"/>
    <w:rsid w:val="005A64C0"/>
    <w:rsid w:val="005A715D"/>
    <w:rsid w:val="005A7BF4"/>
    <w:rsid w:val="005A7DEB"/>
    <w:rsid w:val="005B03AC"/>
    <w:rsid w:val="005B0516"/>
    <w:rsid w:val="005B08FD"/>
    <w:rsid w:val="005B0F79"/>
    <w:rsid w:val="005B15E8"/>
    <w:rsid w:val="005B2A47"/>
    <w:rsid w:val="005B2FF8"/>
    <w:rsid w:val="005B383A"/>
    <w:rsid w:val="005B3C11"/>
    <w:rsid w:val="005B42CE"/>
    <w:rsid w:val="005B45FA"/>
    <w:rsid w:val="005B471E"/>
    <w:rsid w:val="005B4B4F"/>
    <w:rsid w:val="005B4CE6"/>
    <w:rsid w:val="005B5254"/>
    <w:rsid w:val="005B5721"/>
    <w:rsid w:val="005B6999"/>
    <w:rsid w:val="005B7575"/>
    <w:rsid w:val="005C00C5"/>
    <w:rsid w:val="005C088A"/>
    <w:rsid w:val="005C0DDD"/>
    <w:rsid w:val="005C1C28"/>
    <w:rsid w:val="005C1D03"/>
    <w:rsid w:val="005C34DF"/>
    <w:rsid w:val="005C35A3"/>
    <w:rsid w:val="005C3EC4"/>
    <w:rsid w:val="005C4270"/>
    <w:rsid w:val="005C461F"/>
    <w:rsid w:val="005C4796"/>
    <w:rsid w:val="005C4C1C"/>
    <w:rsid w:val="005C533E"/>
    <w:rsid w:val="005C5C13"/>
    <w:rsid w:val="005C5D0C"/>
    <w:rsid w:val="005C5D43"/>
    <w:rsid w:val="005C5E67"/>
    <w:rsid w:val="005C6DB5"/>
    <w:rsid w:val="005C6F58"/>
    <w:rsid w:val="005C7224"/>
    <w:rsid w:val="005C7BF3"/>
    <w:rsid w:val="005D164F"/>
    <w:rsid w:val="005D20BB"/>
    <w:rsid w:val="005D24D3"/>
    <w:rsid w:val="005D3276"/>
    <w:rsid w:val="005D32D5"/>
    <w:rsid w:val="005D333B"/>
    <w:rsid w:val="005D3B0E"/>
    <w:rsid w:val="005D3B13"/>
    <w:rsid w:val="005D3CE1"/>
    <w:rsid w:val="005D4B3E"/>
    <w:rsid w:val="005D605E"/>
    <w:rsid w:val="005D67F1"/>
    <w:rsid w:val="005D6A90"/>
    <w:rsid w:val="005D7D2F"/>
    <w:rsid w:val="005D7EE7"/>
    <w:rsid w:val="005E064D"/>
    <w:rsid w:val="005E06FA"/>
    <w:rsid w:val="005E1114"/>
    <w:rsid w:val="005E17B5"/>
    <w:rsid w:val="005E19E7"/>
    <w:rsid w:val="005E2376"/>
    <w:rsid w:val="005E2CCB"/>
    <w:rsid w:val="005E2E19"/>
    <w:rsid w:val="005E3236"/>
    <w:rsid w:val="005E3BE9"/>
    <w:rsid w:val="005E3E8B"/>
    <w:rsid w:val="005E5009"/>
    <w:rsid w:val="005E5970"/>
    <w:rsid w:val="005E5FFE"/>
    <w:rsid w:val="005E63A0"/>
    <w:rsid w:val="005E7427"/>
    <w:rsid w:val="005E77C9"/>
    <w:rsid w:val="005F06F1"/>
    <w:rsid w:val="005F23AA"/>
    <w:rsid w:val="005F2953"/>
    <w:rsid w:val="005F2CC3"/>
    <w:rsid w:val="005F2D66"/>
    <w:rsid w:val="005F47CF"/>
    <w:rsid w:val="005F4C92"/>
    <w:rsid w:val="005F5531"/>
    <w:rsid w:val="005F5DD2"/>
    <w:rsid w:val="005F608E"/>
    <w:rsid w:val="005F7909"/>
    <w:rsid w:val="005F7F72"/>
    <w:rsid w:val="00600ACC"/>
    <w:rsid w:val="006014A4"/>
    <w:rsid w:val="006015F4"/>
    <w:rsid w:val="00601EDF"/>
    <w:rsid w:val="00603684"/>
    <w:rsid w:val="00604220"/>
    <w:rsid w:val="00605884"/>
    <w:rsid w:val="00605A82"/>
    <w:rsid w:val="00606196"/>
    <w:rsid w:val="00606606"/>
    <w:rsid w:val="00606A4B"/>
    <w:rsid w:val="00607E49"/>
    <w:rsid w:val="00607EB5"/>
    <w:rsid w:val="006103A6"/>
    <w:rsid w:val="006115AE"/>
    <w:rsid w:val="006116EA"/>
    <w:rsid w:val="00611DDB"/>
    <w:rsid w:val="00612327"/>
    <w:rsid w:val="00612ADE"/>
    <w:rsid w:val="00613770"/>
    <w:rsid w:val="00614B64"/>
    <w:rsid w:val="00614FEC"/>
    <w:rsid w:val="00615A25"/>
    <w:rsid w:val="0061716C"/>
    <w:rsid w:val="00617639"/>
    <w:rsid w:val="006209A8"/>
    <w:rsid w:val="00621A0D"/>
    <w:rsid w:val="00621D08"/>
    <w:rsid w:val="006223CF"/>
    <w:rsid w:val="00622D65"/>
    <w:rsid w:val="0062321C"/>
    <w:rsid w:val="00623A50"/>
    <w:rsid w:val="006243A1"/>
    <w:rsid w:val="00624F59"/>
    <w:rsid w:val="0062536E"/>
    <w:rsid w:val="00625774"/>
    <w:rsid w:val="0062664C"/>
    <w:rsid w:val="006270E9"/>
    <w:rsid w:val="006272C3"/>
    <w:rsid w:val="006273DF"/>
    <w:rsid w:val="0062773E"/>
    <w:rsid w:val="00627DD7"/>
    <w:rsid w:val="00630737"/>
    <w:rsid w:val="006307CA"/>
    <w:rsid w:val="00630EA2"/>
    <w:rsid w:val="00630ED5"/>
    <w:rsid w:val="00632A97"/>
    <w:rsid w:val="00632E56"/>
    <w:rsid w:val="00635252"/>
    <w:rsid w:val="00635405"/>
    <w:rsid w:val="0063574A"/>
    <w:rsid w:val="006359A8"/>
    <w:rsid w:val="00635CBA"/>
    <w:rsid w:val="0063687D"/>
    <w:rsid w:val="006405A1"/>
    <w:rsid w:val="0064073C"/>
    <w:rsid w:val="00640E09"/>
    <w:rsid w:val="00641101"/>
    <w:rsid w:val="00641C14"/>
    <w:rsid w:val="00642872"/>
    <w:rsid w:val="00642C80"/>
    <w:rsid w:val="0064338B"/>
    <w:rsid w:val="00643B94"/>
    <w:rsid w:val="0064419E"/>
    <w:rsid w:val="00645673"/>
    <w:rsid w:val="00645860"/>
    <w:rsid w:val="00646542"/>
    <w:rsid w:val="00646937"/>
    <w:rsid w:val="00646A04"/>
    <w:rsid w:val="00646C41"/>
    <w:rsid w:val="00646E04"/>
    <w:rsid w:val="006500A7"/>
    <w:rsid w:val="006504F4"/>
    <w:rsid w:val="0065060F"/>
    <w:rsid w:val="00650646"/>
    <w:rsid w:val="00650B6B"/>
    <w:rsid w:val="006515A4"/>
    <w:rsid w:val="00651ECF"/>
    <w:rsid w:val="006545E9"/>
    <w:rsid w:val="006546DB"/>
    <w:rsid w:val="00654BC9"/>
    <w:rsid w:val="0065514E"/>
    <w:rsid w:val="00655163"/>
    <w:rsid w:val="006552FD"/>
    <w:rsid w:val="00655E48"/>
    <w:rsid w:val="0066012B"/>
    <w:rsid w:val="0066020F"/>
    <w:rsid w:val="00660F82"/>
    <w:rsid w:val="00661029"/>
    <w:rsid w:val="0066207F"/>
    <w:rsid w:val="00662DD9"/>
    <w:rsid w:val="006638DA"/>
    <w:rsid w:val="00663AF3"/>
    <w:rsid w:val="00663C0B"/>
    <w:rsid w:val="00663FDE"/>
    <w:rsid w:val="00664031"/>
    <w:rsid w:val="00665594"/>
    <w:rsid w:val="006658A3"/>
    <w:rsid w:val="00665A17"/>
    <w:rsid w:val="00666598"/>
    <w:rsid w:val="00666A82"/>
    <w:rsid w:val="00666B6C"/>
    <w:rsid w:val="00667749"/>
    <w:rsid w:val="00667B5E"/>
    <w:rsid w:val="00667C2F"/>
    <w:rsid w:val="0067088E"/>
    <w:rsid w:val="00670CAA"/>
    <w:rsid w:val="00671A4C"/>
    <w:rsid w:val="0067285F"/>
    <w:rsid w:val="0067298B"/>
    <w:rsid w:val="00672C2E"/>
    <w:rsid w:val="00673602"/>
    <w:rsid w:val="00673E5C"/>
    <w:rsid w:val="006748E8"/>
    <w:rsid w:val="00675BC1"/>
    <w:rsid w:val="00675D59"/>
    <w:rsid w:val="00675FC9"/>
    <w:rsid w:val="0067737E"/>
    <w:rsid w:val="0067759B"/>
    <w:rsid w:val="006779F0"/>
    <w:rsid w:val="00677C4A"/>
    <w:rsid w:val="006804FE"/>
    <w:rsid w:val="00680635"/>
    <w:rsid w:val="006812D2"/>
    <w:rsid w:val="006816B0"/>
    <w:rsid w:val="00681BD4"/>
    <w:rsid w:val="00682682"/>
    <w:rsid w:val="00682702"/>
    <w:rsid w:val="00682878"/>
    <w:rsid w:val="00682EEF"/>
    <w:rsid w:val="00683FEB"/>
    <w:rsid w:val="0068446A"/>
    <w:rsid w:val="0068507F"/>
    <w:rsid w:val="0068577F"/>
    <w:rsid w:val="0068699C"/>
    <w:rsid w:val="00686A6F"/>
    <w:rsid w:val="00686DFC"/>
    <w:rsid w:val="00687480"/>
    <w:rsid w:val="00692368"/>
    <w:rsid w:val="006930E7"/>
    <w:rsid w:val="006933FF"/>
    <w:rsid w:val="0069346A"/>
    <w:rsid w:val="006938D8"/>
    <w:rsid w:val="006939CC"/>
    <w:rsid w:val="00694838"/>
    <w:rsid w:val="00694B3E"/>
    <w:rsid w:val="006966C0"/>
    <w:rsid w:val="00696C1C"/>
    <w:rsid w:val="006971C2"/>
    <w:rsid w:val="00697507"/>
    <w:rsid w:val="0069771B"/>
    <w:rsid w:val="006A069E"/>
    <w:rsid w:val="006A14D4"/>
    <w:rsid w:val="006A1748"/>
    <w:rsid w:val="006A19CE"/>
    <w:rsid w:val="006A2BA0"/>
    <w:rsid w:val="006A2EBC"/>
    <w:rsid w:val="006A3398"/>
    <w:rsid w:val="006A343B"/>
    <w:rsid w:val="006A36C8"/>
    <w:rsid w:val="006A3A08"/>
    <w:rsid w:val="006A3CDD"/>
    <w:rsid w:val="006A4D77"/>
    <w:rsid w:val="006A52CB"/>
    <w:rsid w:val="006A56FC"/>
    <w:rsid w:val="006A5EA0"/>
    <w:rsid w:val="006A6365"/>
    <w:rsid w:val="006A64B7"/>
    <w:rsid w:val="006A6EEE"/>
    <w:rsid w:val="006A783B"/>
    <w:rsid w:val="006A7B33"/>
    <w:rsid w:val="006B09CC"/>
    <w:rsid w:val="006B0D5C"/>
    <w:rsid w:val="006B17E3"/>
    <w:rsid w:val="006B2556"/>
    <w:rsid w:val="006B27E1"/>
    <w:rsid w:val="006B486D"/>
    <w:rsid w:val="006B4E13"/>
    <w:rsid w:val="006B5C87"/>
    <w:rsid w:val="006B5D60"/>
    <w:rsid w:val="006B61DF"/>
    <w:rsid w:val="006B75DD"/>
    <w:rsid w:val="006C06BE"/>
    <w:rsid w:val="006C0812"/>
    <w:rsid w:val="006C082E"/>
    <w:rsid w:val="006C11E7"/>
    <w:rsid w:val="006C13EF"/>
    <w:rsid w:val="006C1D3D"/>
    <w:rsid w:val="006C30BA"/>
    <w:rsid w:val="006C359D"/>
    <w:rsid w:val="006C38A9"/>
    <w:rsid w:val="006C5256"/>
    <w:rsid w:val="006C646B"/>
    <w:rsid w:val="006C67E0"/>
    <w:rsid w:val="006C7ABA"/>
    <w:rsid w:val="006D0324"/>
    <w:rsid w:val="006D0AFA"/>
    <w:rsid w:val="006D0D60"/>
    <w:rsid w:val="006D0E48"/>
    <w:rsid w:val="006D1122"/>
    <w:rsid w:val="006D1F32"/>
    <w:rsid w:val="006D2824"/>
    <w:rsid w:val="006D3C00"/>
    <w:rsid w:val="006D3D00"/>
    <w:rsid w:val="006D4F9C"/>
    <w:rsid w:val="006D504E"/>
    <w:rsid w:val="006D5E54"/>
    <w:rsid w:val="006D65C4"/>
    <w:rsid w:val="006D6DC4"/>
    <w:rsid w:val="006D70F7"/>
    <w:rsid w:val="006D7688"/>
    <w:rsid w:val="006D774B"/>
    <w:rsid w:val="006E024C"/>
    <w:rsid w:val="006E0BEA"/>
    <w:rsid w:val="006E0F42"/>
    <w:rsid w:val="006E1020"/>
    <w:rsid w:val="006E122C"/>
    <w:rsid w:val="006E18B5"/>
    <w:rsid w:val="006E19CC"/>
    <w:rsid w:val="006E31B1"/>
    <w:rsid w:val="006E3675"/>
    <w:rsid w:val="006E465A"/>
    <w:rsid w:val="006E4A7F"/>
    <w:rsid w:val="006E4DEF"/>
    <w:rsid w:val="006E504B"/>
    <w:rsid w:val="006E5C3C"/>
    <w:rsid w:val="006E6809"/>
    <w:rsid w:val="006E69A6"/>
    <w:rsid w:val="006E7570"/>
    <w:rsid w:val="006E78EF"/>
    <w:rsid w:val="006E7DF6"/>
    <w:rsid w:val="006F03F6"/>
    <w:rsid w:val="006F08F3"/>
    <w:rsid w:val="006F124D"/>
    <w:rsid w:val="006F175E"/>
    <w:rsid w:val="006F54EC"/>
    <w:rsid w:val="006F563A"/>
    <w:rsid w:val="006F58DA"/>
    <w:rsid w:val="006F5C5A"/>
    <w:rsid w:val="006F5F42"/>
    <w:rsid w:val="006F6576"/>
    <w:rsid w:val="006F699A"/>
    <w:rsid w:val="006F6BB3"/>
    <w:rsid w:val="006F7DB7"/>
    <w:rsid w:val="007007AE"/>
    <w:rsid w:val="00700CFB"/>
    <w:rsid w:val="00700F1C"/>
    <w:rsid w:val="007026D9"/>
    <w:rsid w:val="0070285A"/>
    <w:rsid w:val="00702AD1"/>
    <w:rsid w:val="0070397C"/>
    <w:rsid w:val="00703A1B"/>
    <w:rsid w:val="007049FB"/>
    <w:rsid w:val="00704DF6"/>
    <w:rsid w:val="007050FF"/>
    <w:rsid w:val="0070576C"/>
    <w:rsid w:val="00705AB6"/>
    <w:rsid w:val="0070651C"/>
    <w:rsid w:val="0070673D"/>
    <w:rsid w:val="00706754"/>
    <w:rsid w:val="0070724D"/>
    <w:rsid w:val="00707984"/>
    <w:rsid w:val="00707A31"/>
    <w:rsid w:val="00707A96"/>
    <w:rsid w:val="00711F78"/>
    <w:rsid w:val="00712A90"/>
    <w:rsid w:val="007132A3"/>
    <w:rsid w:val="00713F9F"/>
    <w:rsid w:val="007145B8"/>
    <w:rsid w:val="0071479A"/>
    <w:rsid w:val="00714AB1"/>
    <w:rsid w:val="00714E80"/>
    <w:rsid w:val="00716421"/>
    <w:rsid w:val="0071676B"/>
    <w:rsid w:val="00717095"/>
    <w:rsid w:val="00717520"/>
    <w:rsid w:val="00717FBA"/>
    <w:rsid w:val="0072133F"/>
    <w:rsid w:val="007216EF"/>
    <w:rsid w:val="00722F75"/>
    <w:rsid w:val="007234C5"/>
    <w:rsid w:val="0072370F"/>
    <w:rsid w:val="00724EFB"/>
    <w:rsid w:val="007252DC"/>
    <w:rsid w:val="0072547C"/>
    <w:rsid w:val="00726167"/>
    <w:rsid w:val="007262EC"/>
    <w:rsid w:val="00727765"/>
    <w:rsid w:val="007279A4"/>
    <w:rsid w:val="007301DB"/>
    <w:rsid w:val="00730206"/>
    <w:rsid w:val="00730552"/>
    <w:rsid w:val="00730A42"/>
    <w:rsid w:val="00730A4A"/>
    <w:rsid w:val="00730DE4"/>
    <w:rsid w:val="00731DF7"/>
    <w:rsid w:val="007330D9"/>
    <w:rsid w:val="00733E27"/>
    <w:rsid w:val="00733E80"/>
    <w:rsid w:val="00734DAD"/>
    <w:rsid w:val="0073516A"/>
    <w:rsid w:val="0073543F"/>
    <w:rsid w:val="00736E80"/>
    <w:rsid w:val="007372B5"/>
    <w:rsid w:val="00737C53"/>
    <w:rsid w:val="00740808"/>
    <w:rsid w:val="00740C11"/>
    <w:rsid w:val="00740C13"/>
    <w:rsid w:val="00740FFA"/>
    <w:rsid w:val="0074120A"/>
    <w:rsid w:val="007419C3"/>
    <w:rsid w:val="00741C57"/>
    <w:rsid w:val="00742C11"/>
    <w:rsid w:val="007433DF"/>
    <w:rsid w:val="007441CC"/>
    <w:rsid w:val="00744DF8"/>
    <w:rsid w:val="00744F64"/>
    <w:rsid w:val="00745586"/>
    <w:rsid w:val="007457C6"/>
    <w:rsid w:val="007467A7"/>
    <w:rsid w:val="007469DD"/>
    <w:rsid w:val="00746C41"/>
    <w:rsid w:val="007472BC"/>
    <w:rsid w:val="0074741B"/>
    <w:rsid w:val="0074759E"/>
    <w:rsid w:val="007478EA"/>
    <w:rsid w:val="007514F0"/>
    <w:rsid w:val="00753934"/>
    <w:rsid w:val="0075415C"/>
    <w:rsid w:val="007548AD"/>
    <w:rsid w:val="00754FCE"/>
    <w:rsid w:val="0075535C"/>
    <w:rsid w:val="00755A80"/>
    <w:rsid w:val="00756174"/>
    <w:rsid w:val="00757B60"/>
    <w:rsid w:val="00760D5A"/>
    <w:rsid w:val="0076314D"/>
    <w:rsid w:val="00763502"/>
    <w:rsid w:val="0076350E"/>
    <w:rsid w:val="00764151"/>
    <w:rsid w:val="00764FB0"/>
    <w:rsid w:val="0076584C"/>
    <w:rsid w:val="00766BF8"/>
    <w:rsid w:val="00767A1E"/>
    <w:rsid w:val="007704AB"/>
    <w:rsid w:val="007704D0"/>
    <w:rsid w:val="00770AFF"/>
    <w:rsid w:val="00771874"/>
    <w:rsid w:val="00772DE7"/>
    <w:rsid w:val="00773A34"/>
    <w:rsid w:val="00774EE4"/>
    <w:rsid w:val="00774EEC"/>
    <w:rsid w:val="0077512C"/>
    <w:rsid w:val="0077642B"/>
    <w:rsid w:val="0077713A"/>
    <w:rsid w:val="00777B1C"/>
    <w:rsid w:val="00780537"/>
    <w:rsid w:val="00780CD6"/>
    <w:rsid w:val="00781A16"/>
    <w:rsid w:val="00781C86"/>
    <w:rsid w:val="007850AD"/>
    <w:rsid w:val="007858EA"/>
    <w:rsid w:val="00785D05"/>
    <w:rsid w:val="007865CA"/>
    <w:rsid w:val="00786AAA"/>
    <w:rsid w:val="00786DA6"/>
    <w:rsid w:val="007871C3"/>
    <w:rsid w:val="00787F7F"/>
    <w:rsid w:val="007913AB"/>
    <w:rsid w:val="007914F7"/>
    <w:rsid w:val="007926DA"/>
    <w:rsid w:val="00792F0B"/>
    <w:rsid w:val="00793271"/>
    <w:rsid w:val="00794A3A"/>
    <w:rsid w:val="00794F2A"/>
    <w:rsid w:val="007951F2"/>
    <w:rsid w:val="007955E2"/>
    <w:rsid w:val="00796B53"/>
    <w:rsid w:val="00796D48"/>
    <w:rsid w:val="00796F2C"/>
    <w:rsid w:val="00796F8F"/>
    <w:rsid w:val="007A1A49"/>
    <w:rsid w:val="007A1C5D"/>
    <w:rsid w:val="007A4571"/>
    <w:rsid w:val="007A5168"/>
    <w:rsid w:val="007A5448"/>
    <w:rsid w:val="007A74CC"/>
    <w:rsid w:val="007B12C3"/>
    <w:rsid w:val="007B1625"/>
    <w:rsid w:val="007B1BE5"/>
    <w:rsid w:val="007B217D"/>
    <w:rsid w:val="007B2624"/>
    <w:rsid w:val="007B29E9"/>
    <w:rsid w:val="007B2BD1"/>
    <w:rsid w:val="007B3026"/>
    <w:rsid w:val="007B304E"/>
    <w:rsid w:val="007B3187"/>
    <w:rsid w:val="007B36CC"/>
    <w:rsid w:val="007B453B"/>
    <w:rsid w:val="007B4A69"/>
    <w:rsid w:val="007B535D"/>
    <w:rsid w:val="007B5B54"/>
    <w:rsid w:val="007B6346"/>
    <w:rsid w:val="007B706E"/>
    <w:rsid w:val="007B71EB"/>
    <w:rsid w:val="007B75DB"/>
    <w:rsid w:val="007B78A9"/>
    <w:rsid w:val="007C0A29"/>
    <w:rsid w:val="007C1B4F"/>
    <w:rsid w:val="007C1F49"/>
    <w:rsid w:val="007C2E4C"/>
    <w:rsid w:val="007C31DF"/>
    <w:rsid w:val="007C3381"/>
    <w:rsid w:val="007C3AB6"/>
    <w:rsid w:val="007C403A"/>
    <w:rsid w:val="007C58E4"/>
    <w:rsid w:val="007C5B9B"/>
    <w:rsid w:val="007C6205"/>
    <w:rsid w:val="007C62D3"/>
    <w:rsid w:val="007C686A"/>
    <w:rsid w:val="007C728E"/>
    <w:rsid w:val="007C73CF"/>
    <w:rsid w:val="007C7A3B"/>
    <w:rsid w:val="007D0622"/>
    <w:rsid w:val="007D0AA6"/>
    <w:rsid w:val="007D12D1"/>
    <w:rsid w:val="007D2C53"/>
    <w:rsid w:val="007D3D60"/>
    <w:rsid w:val="007D47EC"/>
    <w:rsid w:val="007D4DE0"/>
    <w:rsid w:val="007D57D5"/>
    <w:rsid w:val="007D5885"/>
    <w:rsid w:val="007D605F"/>
    <w:rsid w:val="007D68D9"/>
    <w:rsid w:val="007D6FEA"/>
    <w:rsid w:val="007D7743"/>
    <w:rsid w:val="007E1980"/>
    <w:rsid w:val="007E202C"/>
    <w:rsid w:val="007E28B2"/>
    <w:rsid w:val="007E40E4"/>
    <w:rsid w:val="007E4B76"/>
    <w:rsid w:val="007E502B"/>
    <w:rsid w:val="007E5065"/>
    <w:rsid w:val="007E5247"/>
    <w:rsid w:val="007E54EB"/>
    <w:rsid w:val="007E597A"/>
    <w:rsid w:val="007E59E3"/>
    <w:rsid w:val="007E5AAF"/>
    <w:rsid w:val="007E5EA8"/>
    <w:rsid w:val="007E7299"/>
    <w:rsid w:val="007E78BF"/>
    <w:rsid w:val="007E7A81"/>
    <w:rsid w:val="007E7D14"/>
    <w:rsid w:val="007F0A58"/>
    <w:rsid w:val="007F0CF1"/>
    <w:rsid w:val="007F12A5"/>
    <w:rsid w:val="007F1491"/>
    <w:rsid w:val="007F1E5F"/>
    <w:rsid w:val="007F271D"/>
    <w:rsid w:val="007F2729"/>
    <w:rsid w:val="007F2741"/>
    <w:rsid w:val="007F3133"/>
    <w:rsid w:val="007F32D8"/>
    <w:rsid w:val="007F40A8"/>
    <w:rsid w:val="007F449E"/>
    <w:rsid w:val="007F4CB6"/>
    <w:rsid w:val="007F4CF1"/>
    <w:rsid w:val="007F4DF0"/>
    <w:rsid w:val="007F55E4"/>
    <w:rsid w:val="007F57CD"/>
    <w:rsid w:val="007F59B7"/>
    <w:rsid w:val="007F67BF"/>
    <w:rsid w:val="007F6EE8"/>
    <w:rsid w:val="007F73B2"/>
    <w:rsid w:val="007F758D"/>
    <w:rsid w:val="007F7D48"/>
    <w:rsid w:val="007F7D52"/>
    <w:rsid w:val="00800002"/>
    <w:rsid w:val="0080024E"/>
    <w:rsid w:val="0080046E"/>
    <w:rsid w:val="00800ECD"/>
    <w:rsid w:val="008018C4"/>
    <w:rsid w:val="00802970"/>
    <w:rsid w:val="00802CE1"/>
    <w:rsid w:val="00803684"/>
    <w:rsid w:val="00803E0B"/>
    <w:rsid w:val="00803F3E"/>
    <w:rsid w:val="00803F96"/>
    <w:rsid w:val="00805169"/>
    <w:rsid w:val="0080607B"/>
    <w:rsid w:val="008063F3"/>
    <w:rsid w:val="0080654C"/>
    <w:rsid w:val="00806947"/>
    <w:rsid w:val="008071C6"/>
    <w:rsid w:val="00807743"/>
    <w:rsid w:val="00810B7B"/>
    <w:rsid w:val="00810D6F"/>
    <w:rsid w:val="00810E53"/>
    <w:rsid w:val="00811323"/>
    <w:rsid w:val="008114B0"/>
    <w:rsid w:val="00811B08"/>
    <w:rsid w:val="00811CA5"/>
    <w:rsid w:val="00812E5D"/>
    <w:rsid w:val="00813A14"/>
    <w:rsid w:val="008153D9"/>
    <w:rsid w:val="008156DA"/>
    <w:rsid w:val="0081687F"/>
    <w:rsid w:val="0081766A"/>
    <w:rsid w:val="00817A00"/>
    <w:rsid w:val="00817DD5"/>
    <w:rsid w:val="008200A3"/>
    <w:rsid w:val="0082049D"/>
    <w:rsid w:val="00820DA9"/>
    <w:rsid w:val="0082124A"/>
    <w:rsid w:val="00822F23"/>
    <w:rsid w:val="00823C31"/>
    <w:rsid w:val="00823D4F"/>
    <w:rsid w:val="0082650B"/>
    <w:rsid w:val="00826C2B"/>
    <w:rsid w:val="00826D21"/>
    <w:rsid w:val="00826E8B"/>
    <w:rsid w:val="0082741B"/>
    <w:rsid w:val="008277C2"/>
    <w:rsid w:val="00827C6F"/>
    <w:rsid w:val="00830872"/>
    <w:rsid w:val="00830873"/>
    <w:rsid w:val="0083097B"/>
    <w:rsid w:val="0083102D"/>
    <w:rsid w:val="00831292"/>
    <w:rsid w:val="008317A3"/>
    <w:rsid w:val="00831E85"/>
    <w:rsid w:val="0083230C"/>
    <w:rsid w:val="0083254B"/>
    <w:rsid w:val="008325E4"/>
    <w:rsid w:val="00833341"/>
    <w:rsid w:val="00833409"/>
    <w:rsid w:val="008334C1"/>
    <w:rsid w:val="008337FF"/>
    <w:rsid w:val="00834296"/>
    <w:rsid w:val="00834444"/>
    <w:rsid w:val="00835586"/>
    <w:rsid w:val="00835739"/>
    <w:rsid w:val="00835868"/>
    <w:rsid w:val="00835DB3"/>
    <w:rsid w:val="0083617B"/>
    <w:rsid w:val="0083633C"/>
    <w:rsid w:val="00836D07"/>
    <w:rsid w:val="008371BD"/>
    <w:rsid w:val="00837CFB"/>
    <w:rsid w:val="00837DAD"/>
    <w:rsid w:val="00837EAE"/>
    <w:rsid w:val="00840AC6"/>
    <w:rsid w:val="00840C3D"/>
    <w:rsid w:val="008411F0"/>
    <w:rsid w:val="008413C8"/>
    <w:rsid w:val="00842EEA"/>
    <w:rsid w:val="00843564"/>
    <w:rsid w:val="00844FC6"/>
    <w:rsid w:val="00844FD8"/>
    <w:rsid w:val="008456CC"/>
    <w:rsid w:val="00845928"/>
    <w:rsid w:val="00845ED1"/>
    <w:rsid w:val="00846479"/>
    <w:rsid w:val="00846557"/>
    <w:rsid w:val="00846B99"/>
    <w:rsid w:val="00847568"/>
    <w:rsid w:val="008504A8"/>
    <w:rsid w:val="00850AFF"/>
    <w:rsid w:val="00850DDC"/>
    <w:rsid w:val="0085145B"/>
    <w:rsid w:val="008516F9"/>
    <w:rsid w:val="008522E0"/>
    <w:rsid w:val="0085282E"/>
    <w:rsid w:val="00852AAD"/>
    <w:rsid w:val="00853BC8"/>
    <w:rsid w:val="008548FA"/>
    <w:rsid w:val="00854901"/>
    <w:rsid w:val="00854967"/>
    <w:rsid w:val="00854D0E"/>
    <w:rsid w:val="00854E6C"/>
    <w:rsid w:val="00855615"/>
    <w:rsid w:val="00855A15"/>
    <w:rsid w:val="00855BA2"/>
    <w:rsid w:val="008567A5"/>
    <w:rsid w:val="00856AB5"/>
    <w:rsid w:val="00856D9A"/>
    <w:rsid w:val="008572D0"/>
    <w:rsid w:val="00857ADF"/>
    <w:rsid w:val="00860866"/>
    <w:rsid w:val="00860AD1"/>
    <w:rsid w:val="00861CAB"/>
    <w:rsid w:val="0086329A"/>
    <w:rsid w:val="008632FB"/>
    <w:rsid w:val="00865084"/>
    <w:rsid w:val="0086534A"/>
    <w:rsid w:val="0086548A"/>
    <w:rsid w:val="0086793B"/>
    <w:rsid w:val="00867BC7"/>
    <w:rsid w:val="00867C8F"/>
    <w:rsid w:val="00870AC3"/>
    <w:rsid w:val="00871540"/>
    <w:rsid w:val="0087198C"/>
    <w:rsid w:val="00871F33"/>
    <w:rsid w:val="008721F2"/>
    <w:rsid w:val="00872A24"/>
    <w:rsid w:val="00872C1F"/>
    <w:rsid w:val="00872CBD"/>
    <w:rsid w:val="008731DF"/>
    <w:rsid w:val="0087388C"/>
    <w:rsid w:val="00873B42"/>
    <w:rsid w:val="0087454F"/>
    <w:rsid w:val="00874762"/>
    <w:rsid w:val="00875DB2"/>
    <w:rsid w:val="00876B08"/>
    <w:rsid w:val="00876D58"/>
    <w:rsid w:val="008770A2"/>
    <w:rsid w:val="00877403"/>
    <w:rsid w:val="008775A1"/>
    <w:rsid w:val="00877F93"/>
    <w:rsid w:val="00880B7B"/>
    <w:rsid w:val="0088186B"/>
    <w:rsid w:val="0088254F"/>
    <w:rsid w:val="0088383D"/>
    <w:rsid w:val="00883B14"/>
    <w:rsid w:val="008848A9"/>
    <w:rsid w:val="00884A00"/>
    <w:rsid w:val="00884D57"/>
    <w:rsid w:val="00885318"/>
    <w:rsid w:val="008856D8"/>
    <w:rsid w:val="00887326"/>
    <w:rsid w:val="008901A9"/>
    <w:rsid w:val="00890389"/>
    <w:rsid w:val="00890EB4"/>
    <w:rsid w:val="00890EFD"/>
    <w:rsid w:val="00891055"/>
    <w:rsid w:val="0089111F"/>
    <w:rsid w:val="00891DD7"/>
    <w:rsid w:val="00892DA1"/>
    <w:rsid w:val="00892E82"/>
    <w:rsid w:val="008930A4"/>
    <w:rsid w:val="008932C6"/>
    <w:rsid w:val="008938CD"/>
    <w:rsid w:val="00893ADA"/>
    <w:rsid w:val="0089437E"/>
    <w:rsid w:val="00895BFA"/>
    <w:rsid w:val="00895E11"/>
    <w:rsid w:val="00896516"/>
    <w:rsid w:val="0089678D"/>
    <w:rsid w:val="008968E0"/>
    <w:rsid w:val="008972CF"/>
    <w:rsid w:val="0089734D"/>
    <w:rsid w:val="008A0153"/>
    <w:rsid w:val="008A0EB5"/>
    <w:rsid w:val="008A257F"/>
    <w:rsid w:val="008A29A1"/>
    <w:rsid w:val="008A2B20"/>
    <w:rsid w:val="008A301D"/>
    <w:rsid w:val="008A4BA1"/>
    <w:rsid w:val="008A53AB"/>
    <w:rsid w:val="008A5CE9"/>
    <w:rsid w:val="008A600F"/>
    <w:rsid w:val="008A73C0"/>
    <w:rsid w:val="008A753C"/>
    <w:rsid w:val="008A77A1"/>
    <w:rsid w:val="008B145F"/>
    <w:rsid w:val="008B218E"/>
    <w:rsid w:val="008B262E"/>
    <w:rsid w:val="008B272D"/>
    <w:rsid w:val="008B3140"/>
    <w:rsid w:val="008B417E"/>
    <w:rsid w:val="008B4453"/>
    <w:rsid w:val="008B4C3C"/>
    <w:rsid w:val="008B628E"/>
    <w:rsid w:val="008C05EA"/>
    <w:rsid w:val="008C0897"/>
    <w:rsid w:val="008C0CF2"/>
    <w:rsid w:val="008C1666"/>
    <w:rsid w:val="008C1861"/>
    <w:rsid w:val="008C1954"/>
    <w:rsid w:val="008C1B58"/>
    <w:rsid w:val="008C2FBA"/>
    <w:rsid w:val="008C399F"/>
    <w:rsid w:val="008C39AE"/>
    <w:rsid w:val="008C3AAB"/>
    <w:rsid w:val="008C3F08"/>
    <w:rsid w:val="008C590D"/>
    <w:rsid w:val="008C599E"/>
    <w:rsid w:val="008C5C50"/>
    <w:rsid w:val="008C5D31"/>
    <w:rsid w:val="008C657B"/>
    <w:rsid w:val="008C6854"/>
    <w:rsid w:val="008C699B"/>
    <w:rsid w:val="008C6A32"/>
    <w:rsid w:val="008D02BC"/>
    <w:rsid w:val="008D06C4"/>
    <w:rsid w:val="008D1004"/>
    <w:rsid w:val="008D30AB"/>
    <w:rsid w:val="008D3E75"/>
    <w:rsid w:val="008D4594"/>
    <w:rsid w:val="008D4B79"/>
    <w:rsid w:val="008D5901"/>
    <w:rsid w:val="008D5A20"/>
    <w:rsid w:val="008D5A3A"/>
    <w:rsid w:val="008D5CA9"/>
    <w:rsid w:val="008D6D2F"/>
    <w:rsid w:val="008D775F"/>
    <w:rsid w:val="008D7C2B"/>
    <w:rsid w:val="008E031B"/>
    <w:rsid w:val="008E03D8"/>
    <w:rsid w:val="008E051B"/>
    <w:rsid w:val="008E0AA8"/>
    <w:rsid w:val="008E15AB"/>
    <w:rsid w:val="008E203F"/>
    <w:rsid w:val="008E24D0"/>
    <w:rsid w:val="008E2836"/>
    <w:rsid w:val="008E2BEA"/>
    <w:rsid w:val="008E3402"/>
    <w:rsid w:val="008E3A0F"/>
    <w:rsid w:val="008E4296"/>
    <w:rsid w:val="008E4591"/>
    <w:rsid w:val="008E4E8F"/>
    <w:rsid w:val="008E5168"/>
    <w:rsid w:val="008E55F2"/>
    <w:rsid w:val="008E7029"/>
    <w:rsid w:val="008E7EF6"/>
    <w:rsid w:val="008F0A10"/>
    <w:rsid w:val="008F1CCB"/>
    <w:rsid w:val="008F1F98"/>
    <w:rsid w:val="008F21E5"/>
    <w:rsid w:val="008F2882"/>
    <w:rsid w:val="008F2CB4"/>
    <w:rsid w:val="008F2CF3"/>
    <w:rsid w:val="008F306E"/>
    <w:rsid w:val="008F30BA"/>
    <w:rsid w:val="008F3F90"/>
    <w:rsid w:val="008F4DA2"/>
    <w:rsid w:val="008F4DC4"/>
    <w:rsid w:val="008F4DEF"/>
    <w:rsid w:val="008F6226"/>
    <w:rsid w:val="008F6758"/>
    <w:rsid w:val="008F76DB"/>
    <w:rsid w:val="008F79AD"/>
    <w:rsid w:val="008F7D73"/>
    <w:rsid w:val="00900355"/>
    <w:rsid w:val="00900710"/>
    <w:rsid w:val="00900A72"/>
    <w:rsid w:val="00900E2E"/>
    <w:rsid w:val="00901098"/>
    <w:rsid w:val="00901438"/>
    <w:rsid w:val="00901B29"/>
    <w:rsid w:val="00901E14"/>
    <w:rsid w:val="009028E3"/>
    <w:rsid w:val="00903D37"/>
    <w:rsid w:val="009040DD"/>
    <w:rsid w:val="00904B1C"/>
    <w:rsid w:val="0090520C"/>
    <w:rsid w:val="00905441"/>
    <w:rsid w:val="00905B47"/>
    <w:rsid w:val="009067BD"/>
    <w:rsid w:val="00906E7C"/>
    <w:rsid w:val="009074A7"/>
    <w:rsid w:val="00910833"/>
    <w:rsid w:val="00912433"/>
    <w:rsid w:val="0091245A"/>
    <w:rsid w:val="00912C17"/>
    <w:rsid w:val="009130E2"/>
    <w:rsid w:val="009132EA"/>
    <w:rsid w:val="0091331C"/>
    <w:rsid w:val="00913CCB"/>
    <w:rsid w:val="00914899"/>
    <w:rsid w:val="00914A54"/>
    <w:rsid w:val="00914AEF"/>
    <w:rsid w:val="00915A9A"/>
    <w:rsid w:val="00916984"/>
    <w:rsid w:val="00917CD8"/>
    <w:rsid w:val="009202CA"/>
    <w:rsid w:val="009203F0"/>
    <w:rsid w:val="009206D9"/>
    <w:rsid w:val="00920C6F"/>
    <w:rsid w:val="00921C0C"/>
    <w:rsid w:val="00922390"/>
    <w:rsid w:val="0092419E"/>
    <w:rsid w:val="00925335"/>
    <w:rsid w:val="00925D6F"/>
    <w:rsid w:val="00925E04"/>
    <w:rsid w:val="00925F01"/>
    <w:rsid w:val="009269D2"/>
    <w:rsid w:val="0092767B"/>
    <w:rsid w:val="009279DE"/>
    <w:rsid w:val="00930116"/>
    <w:rsid w:val="00930BFC"/>
    <w:rsid w:val="00932138"/>
    <w:rsid w:val="009321BC"/>
    <w:rsid w:val="0093236E"/>
    <w:rsid w:val="00932A1B"/>
    <w:rsid w:val="00933863"/>
    <w:rsid w:val="00933D7A"/>
    <w:rsid w:val="00934C9D"/>
    <w:rsid w:val="00935037"/>
    <w:rsid w:val="00936903"/>
    <w:rsid w:val="00937FDF"/>
    <w:rsid w:val="00940709"/>
    <w:rsid w:val="00940DE9"/>
    <w:rsid w:val="00941438"/>
    <w:rsid w:val="009414F7"/>
    <w:rsid w:val="009415D7"/>
    <w:rsid w:val="00941685"/>
    <w:rsid w:val="0094212C"/>
    <w:rsid w:val="00942F10"/>
    <w:rsid w:val="00944C94"/>
    <w:rsid w:val="009450A6"/>
    <w:rsid w:val="00945AA9"/>
    <w:rsid w:val="0094695B"/>
    <w:rsid w:val="00946B65"/>
    <w:rsid w:val="009476DE"/>
    <w:rsid w:val="00947901"/>
    <w:rsid w:val="0094791E"/>
    <w:rsid w:val="009501A1"/>
    <w:rsid w:val="00950601"/>
    <w:rsid w:val="00950B7D"/>
    <w:rsid w:val="00950E4A"/>
    <w:rsid w:val="00951B77"/>
    <w:rsid w:val="00952D4D"/>
    <w:rsid w:val="0095300D"/>
    <w:rsid w:val="0095347F"/>
    <w:rsid w:val="009542BE"/>
    <w:rsid w:val="009542F4"/>
    <w:rsid w:val="00954320"/>
    <w:rsid w:val="00954689"/>
    <w:rsid w:val="00954A22"/>
    <w:rsid w:val="009555A3"/>
    <w:rsid w:val="0095573E"/>
    <w:rsid w:val="00956664"/>
    <w:rsid w:val="00956D05"/>
    <w:rsid w:val="00956DC9"/>
    <w:rsid w:val="00957138"/>
    <w:rsid w:val="009572F5"/>
    <w:rsid w:val="00957C7A"/>
    <w:rsid w:val="00957D84"/>
    <w:rsid w:val="00960E74"/>
    <w:rsid w:val="009617C9"/>
    <w:rsid w:val="00961A1A"/>
    <w:rsid w:val="00961B58"/>
    <w:rsid w:val="00961C93"/>
    <w:rsid w:val="00961EC9"/>
    <w:rsid w:val="00962446"/>
    <w:rsid w:val="009627FC"/>
    <w:rsid w:val="00962A63"/>
    <w:rsid w:val="00962D1C"/>
    <w:rsid w:val="00963621"/>
    <w:rsid w:val="009646D9"/>
    <w:rsid w:val="00965324"/>
    <w:rsid w:val="00965B92"/>
    <w:rsid w:val="00965E9D"/>
    <w:rsid w:val="0096689F"/>
    <w:rsid w:val="00966C51"/>
    <w:rsid w:val="00967B5F"/>
    <w:rsid w:val="0097091E"/>
    <w:rsid w:val="00970F02"/>
    <w:rsid w:val="00971717"/>
    <w:rsid w:val="00972523"/>
    <w:rsid w:val="009728A6"/>
    <w:rsid w:val="00972CDC"/>
    <w:rsid w:val="00975027"/>
    <w:rsid w:val="00975D01"/>
    <w:rsid w:val="009760D3"/>
    <w:rsid w:val="0097681D"/>
    <w:rsid w:val="00977132"/>
    <w:rsid w:val="009779F7"/>
    <w:rsid w:val="00977C97"/>
    <w:rsid w:val="00981800"/>
    <w:rsid w:val="00981A4B"/>
    <w:rsid w:val="00982501"/>
    <w:rsid w:val="00982E65"/>
    <w:rsid w:val="00983380"/>
    <w:rsid w:val="00983575"/>
    <w:rsid w:val="00983743"/>
    <w:rsid w:val="00985BB2"/>
    <w:rsid w:val="00986858"/>
    <w:rsid w:val="00986B32"/>
    <w:rsid w:val="009877D3"/>
    <w:rsid w:val="00987B12"/>
    <w:rsid w:val="00990D03"/>
    <w:rsid w:val="00992EE1"/>
    <w:rsid w:val="00993A4E"/>
    <w:rsid w:val="00994D44"/>
    <w:rsid w:val="00994E8F"/>
    <w:rsid w:val="009951DC"/>
    <w:rsid w:val="0099533D"/>
    <w:rsid w:val="009959BB"/>
    <w:rsid w:val="00997158"/>
    <w:rsid w:val="0099793B"/>
    <w:rsid w:val="00997BA5"/>
    <w:rsid w:val="009A0424"/>
    <w:rsid w:val="009A04D2"/>
    <w:rsid w:val="009A0504"/>
    <w:rsid w:val="009A1D30"/>
    <w:rsid w:val="009A3A7C"/>
    <w:rsid w:val="009A4021"/>
    <w:rsid w:val="009A4EBB"/>
    <w:rsid w:val="009A5FA9"/>
    <w:rsid w:val="009A6318"/>
    <w:rsid w:val="009A699E"/>
    <w:rsid w:val="009A6CB5"/>
    <w:rsid w:val="009A71C3"/>
    <w:rsid w:val="009A7B44"/>
    <w:rsid w:val="009B05B4"/>
    <w:rsid w:val="009B0F1C"/>
    <w:rsid w:val="009B1A2A"/>
    <w:rsid w:val="009B2ADB"/>
    <w:rsid w:val="009B2DB0"/>
    <w:rsid w:val="009B3370"/>
    <w:rsid w:val="009B3771"/>
    <w:rsid w:val="009B3FD8"/>
    <w:rsid w:val="009B4381"/>
    <w:rsid w:val="009B4F02"/>
    <w:rsid w:val="009B4F14"/>
    <w:rsid w:val="009B603A"/>
    <w:rsid w:val="009B607C"/>
    <w:rsid w:val="009B6C25"/>
    <w:rsid w:val="009C08B2"/>
    <w:rsid w:val="009C0E7F"/>
    <w:rsid w:val="009C0E92"/>
    <w:rsid w:val="009C1B3B"/>
    <w:rsid w:val="009C2D0E"/>
    <w:rsid w:val="009C2FF7"/>
    <w:rsid w:val="009C304A"/>
    <w:rsid w:val="009C3DAC"/>
    <w:rsid w:val="009C42E0"/>
    <w:rsid w:val="009C5DF5"/>
    <w:rsid w:val="009C6A72"/>
    <w:rsid w:val="009C7A56"/>
    <w:rsid w:val="009D0D91"/>
    <w:rsid w:val="009D2710"/>
    <w:rsid w:val="009D37CE"/>
    <w:rsid w:val="009D393C"/>
    <w:rsid w:val="009D39A6"/>
    <w:rsid w:val="009D5362"/>
    <w:rsid w:val="009D6104"/>
    <w:rsid w:val="009D64D3"/>
    <w:rsid w:val="009D6783"/>
    <w:rsid w:val="009D6BD2"/>
    <w:rsid w:val="009D73F3"/>
    <w:rsid w:val="009D7454"/>
    <w:rsid w:val="009D7DC7"/>
    <w:rsid w:val="009E0165"/>
    <w:rsid w:val="009E037F"/>
    <w:rsid w:val="009E065C"/>
    <w:rsid w:val="009E07DA"/>
    <w:rsid w:val="009E1415"/>
    <w:rsid w:val="009E1D64"/>
    <w:rsid w:val="009E1D6F"/>
    <w:rsid w:val="009E23E1"/>
    <w:rsid w:val="009E24FA"/>
    <w:rsid w:val="009E265F"/>
    <w:rsid w:val="009E39C6"/>
    <w:rsid w:val="009E4D7A"/>
    <w:rsid w:val="009E4FBD"/>
    <w:rsid w:val="009E6116"/>
    <w:rsid w:val="009E68C5"/>
    <w:rsid w:val="009E7295"/>
    <w:rsid w:val="009F0A94"/>
    <w:rsid w:val="009F0BE8"/>
    <w:rsid w:val="009F0F0E"/>
    <w:rsid w:val="009F198F"/>
    <w:rsid w:val="009F1F5B"/>
    <w:rsid w:val="009F3118"/>
    <w:rsid w:val="009F39CC"/>
    <w:rsid w:val="009F3AF0"/>
    <w:rsid w:val="009F3C09"/>
    <w:rsid w:val="009F3F19"/>
    <w:rsid w:val="009F52D2"/>
    <w:rsid w:val="009F61D0"/>
    <w:rsid w:val="009F6BCE"/>
    <w:rsid w:val="009F7F56"/>
    <w:rsid w:val="00A00003"/>
    <w:rsid w:val="00A00254"/>
    <w:rsid w:val="00A01219"/>
    <w:rsid w:val="00A01508"/>
    <w:rsid w:val="00A02919"/>
    <w:rsid w:val="00A02B52"/>
    <w:rsid w:val="00A02E43"/>
    <w:rsid w:val="00A02FD9"/>
    <w:rsid w:val="00A03ABE"/>
    <w:rsid w:val="00A041F9"/>
    <w:rsid w:val="00A0546C"/>
    <w:rsid w:val="00A0633C"/>
    <w:rsid w:val="00A0644B"/>
    <w:rsid w:val="00A065F9"/>
    <w:rsid w:val="00A06B7E"/>
    <w:rsid w:val="00A06E97"/>
    <w:rsid w:val="00A078CE"/>
    <w:rsid w:val="00A07F30"/>
    <w:rsid w:val="00A07F34"/>
    <w:rsid w:val="00A1051F"/>
    <w:rsid w:val="00A11064"/>
    <w:rsid w:val="00A1138B"/>
    <w:rsid w:val="00A1235B"/>
    <w:rsid w:val="00A1241B"/>
    <w:rsid w:val="00A1477C"/>
    <w:rsid w:val="00A15355"/>
    <w:rsid w:val="00A1557D"/>
    <w:rsid w:val="00A1586C"/>
    <w:rsid w:val="00A1611B"/>
    <w:rsid w:val="00A17AF9"/>
    <w:rsid w:val="00A20AD6"/>
    <w:rsid w:val="00A219C9"/>
    <w:rsid w:val="00A22154"/>
    <w:rsid w:val="00A236E7"/>
    <w:rsid w:val="00A24258"/>
    <w:rsid w:val="00A251D9"/>
    <w:rsid w:val="00A25C38"/>
    <w:rsid w:val="00A25EB9"/>
    <w:rsid w:val="00A264C9"/>
    <w:rsid w:val="00A26774"/>
    <w:rsid w:val="00A27151"/>
    <w:rsid w:val="00A27E47"/>
    <w:rsid w:val="00A30220"/>
    <w:rsid w:val="00A30A05"/>
    <w:rsid w:val="00A31285"/>
    <w:rsid w:val="00A33031"/>
    <w:rsid w:val="00A335E2"/>
    <w:rsid w:val="00A34D88"/>
    <w:rsid w:val="00A357C0"/>
    <w:rsid w:val="00A366B1"/>
    <w:rsid w:val="00A36BBE"/>
    <w:rsid w:val="00A36C4E"/>
    <w:rsid w:val="00A37783"/>
    <w:rsid w:val="00A37821"/>
    <w:rsid w:val="00A37B7E"/>
    <w:rsid w:val="00A40B5F"/>
    <w:rsid w:val="00A40D28"/>
    <w:rsid w:val="00A40E45"/>
    <w:rsid w:val="00A41142"/>
    <w:rsid w:val="00A41AF7"/>
    <w:rsid w:val="00A41BE2"/>
    <w:rsid w:val="00A41BFD"/>
    <w:rsid w:val="00A41D3D"/>
    <w:rsid w:val="00A4217E"/>
    <w:rsid w:val="00A426A1"/>
    <w:rsid w:val="00A42F50"/>
    <w:rsid w:val="00A4307A"/>
    <w:rsid w:val="00A43A73"/>
    <w:rsid w:val="00A43E9E"/>
    <w:rsid w:val="00A442BE"/>
    <w:rsid w:val="00A462BE"/>
    <w:rsid w:val="00A468EB"/>
    <w:rsid w:val="00A4712C"/>
    <w:rsid w:val="00A473BF"/>
    <w:rsid w:val="00A477CD"/>
    <w:rsid w:val="00A47EBB"/>
    <w:rsid w:val="00A501FE"/>
    <w:rsid w:val="00A50671"/>
    <w:rsid w:val="00A51CDD"/>
    <w:rsid w:val="00A5247C"/>
    <w:rsid w:val="00A52C59"/>
    <w:rsid w:val="00A52E83"/>
    <w:rsid w:val="00A53A08"/>
    <w:rsid w:val="00A54AA4"/>
    <w:rsid w:val="00A54AF4"/>
    <w:rsid w:val="00A557CA"/>
    <w:rsid w:val="00A5678E"/>
    <w:rsid w:val="00A56FC7"/>
    <w:rsid w:val="00A5793E"/>
    <w:rsid w:val="00A601C9"/>
    <w:rsid w:val="00A607CB"/>
    <w:rsid w:val="00A60BB1"/>
    <w:rsid w:val="00A60F4A"/>
    <w:rsid w:val="00A61B9F"/>
    <w:rsid w:val="00A61BA5"/>
    <w:rsid w:val="00A61F51"/>
    <w:rsid w:val="00A638DE"/>
    <w:rsid w:val="00A64BC6"/>
    <w:rsid w:val="00A650E7"/>
    <w:rsid w:val="00A66B9D"/>
    <w:rsid w:val="00A66CC2"/>
    <w:rsid w:val="00A6730D"/>
    <w:rsid w:val="00A67A5F"/>
    <w:rsid w:val="00A67CF5"/>
    <w:rsid w:val="00A700AC"/>
    <w:rsid w:val="00A70BD4"/>
    <w:rsid w:val="00A71625"/>
    <w:rsid w:val="00A71B9B"/>
    <w:rsid w:val="00A72976"/>
    <w:rsid w:val="00A731EE"/>
    <w:rsid w:val="00A73395"/>
    <w:rsid w:val="00A73D86"/>
    <w:rsid w:val="00A74425"/>
    <w:rsid w:val="00A751C7"/>
    <w:rsid w:val="00A754D7"/>
    <w:rsid w:val="00A778AA"/>
    <w:rsid w:val="00A81E03"/>
    <w:rsid w:val="00A82BAF"/>
    <w:rsid w:val="00A83146"/>
    <w:rsid w:val="00A83755"/>
    <w:rsid w:val="00A84011"/>
    <w:rsid w:val="00A840FC"/>
    <w:rsid w:val="00A86136"/>
    <w:rsid w:val="00A86457"/>
    <w:rsid w:val="00A86D95"/>
    <w:rsid w:val="00A87844"/>
    <w:rsid w:val="00A87933"/>
    <w:rsid w:val="00A87C96"/>
    <w:rsid w:val="00A90ACD"/>
    <w:rsid w:val="00A91222"/>
    <w:rsid w:val="00A912D2"/>
    <w:rsid w:val="00A9134A"/>
    <w:rsid w:val="00A915DD"/>
    <w:rsid w:val="00A91DCD"/>
    <w:rsid w:val="00A95AF9"/>
    <w:rsid w:val="00A9649F"/>
    <w:rsid w:val="00A966DE"/>
    <w:rsid w:val="00A96893"/>
    <w:rsid w:val="00A96B99"/>
    <w:rsid w:val="00AA038C"/>
    <w:rsid w:val="00AA1452"/>
    <w:rsid w:val="00AA1A40"/>
    <w:rsid w:val="00AA25E6"/>
    <w:rsid w:val="00AA3867"/>
    <w:rsid w:val="00AA3CB3"/>
    <w:rsid w:val="00AA412A"/>
    <w:rsid w:val="00AA4E6C"/>
    <w:rsid w:val="00AA4E9E"/>
    <w:rsid w:val="00AA54C6"/>
    <w:rsid w:val="00AA68B5"/>
    <w:rsid w:val="00AA68BB"/>
    <w:rsid w:val="00AA75B2"/>
    <w:rsid w:val="00AA7A09"/>
    <w:rsid w:val="00AA7C08"/>
    <w:rsid w:val="00AB013B"/>
    <w:rsid w:val="00AB0417"/>
    <w:rsid w:val="00AB0FEA"/>
    <w:rsid w:val="00AB129F"/>
    <w:rsid w:val="00AB14B8"/>
    <w:rsid w:val="00AB2F07"/>
    <w:rsid w:val="00AB3485"/>
    <w:rsid w:val="00AB3B50"/>
    <w:rsid w:val="00AB4AC1"/>
    <w:rsid w:val="00AB5AE8"/>
    <w:rsid w:val="00AB6009"/>
    <w:rsid w:val="00AB68A3"/>
    <w:rsid w:val="00AB7AB9"/>
    <w:rsid w:val="00AB7DB4"/>
    <w:rsid w:val="00AC04C2"/>
    <w:rsid w:val="00AC05B1"/>
    <w:rsid w:val="00AC12C9"/>
    <w:rsid w:val="00AC25C5"/>
    <w:rsid w:val="00AC2753"/>
    <w:rsid w:val="00AC29C4"/>
    <w:rsid w:val="00AC2E60"/>
    <w:rsid w:val="00AC334C"/>
    <w:rsid w:val="00AC3773"/>
    <w:rsid w:val="00AC3FB9"/>
    <w:rsid w:val="00AC51DA"/>
    <w:rsid w:val="00AC5D7F"/>
    <w:rsid w:val="00AC5E35"/>
    <w:rsid w:val="00AC5EBB"/>
    <w:rsid w:val="00AC68A4"/>
    <w:rsid w:val="00AC6F6F"/>
    <w:rsid w:val="00AC7DF5"/>
    <w:rsid w:val="00AC7F49"/>
    <w:rsid w:val="00AD0FBF"/>
    <w:rsid w:val="00AD13B5"/>
    <w:rsid w:val="00AD205F"/>
    <w:rsid w:val="00AD356C"/>
    <w:rsid w:val="00AD458A"/>
    <w:rsid w:val="00AD64C0"/>
    <w:rsid w:val="00AD6763"/>
    <w:rsid w:val="00AD6944"/>
    <w:rsid w:val="00AD6E02"/>
    <w:rsid w:val="00AD71B2"/>
    <w:rsid w:val="00AD74D5"/>
    <w:rsid w:val="00AE02BB"/>
    <w:rsid w:val="00AE07A0"/>
    <w:rsid w:val="00AE08E6"/>
    <w:rsid w:val="00AE2840"/>
    <w:rsid w:val="00AE2914"/>
    <w:rsid w:val="00AE2D53"/>
    <w:rsid w:val="00AE34A9"/>
    <w:rsid w:val="00AE36EC"/>
    <w:rsid w:val="00AE3A3B"/>
    <w:rsid w:val="00AE4966"/>
    <w:rsid w:val="00AE4FEE"/>
    <w:rsid w:val="00AE53F4"/>
    <w:rsid w:val="00AE6D15"/>
    <w:rsid w:val="00AE6E1C"/>
    <w:rsid w:val="00AE7242"/>
    <w:rsid w:val="00AF15C0"/>
    <w:rsid w:val="00AF188A"/>
    <w:rsid w:val="00AF1D88"/>
    <w:rsid w:val="00AF1E57"/>
    <w:rsid w:val="00AF2202"/>
    <w:rsid w:val="00AF25C7"/>
    <w:rsid w:val="00AF2C5E"/>
    <w:rsid w:val="00AF3CF5"/>
    <w:rsid w:val="00AF5788"/>
    <w:rsid w:val="00AF5863"/>
    <w:rsid w:val="00AF6188"/>
    <w:rsid w:val="00AF7E1D"/>
    <w:rsid w:val="00B01359"/>
    <w:rsid w:val="00B02555"/>
    <w:rsid w:val="00B036F5"/>
    <w:rsid w:val="00B03832"/>
    <w:rsid w:val="00B04182"/>
    <w:rsid w:val="00B0451D"/>
    <w:rsid w:val="00B05C35"/>
    <w:rsid w:val="00B06563"/>
    <w:rsid w:val="00B06582"/>
    <w:rsid w:val="00B0707A"/>
    <w:rsid w:val="00B07217"/>
    <w:rsid w:val="00B07AE3"/>
    <w:rsid w:val="00B1022A"/>
    <w:rsid w:val="00B10760"/>
    <w:rsid w:val="00B11019"/>
    <w:rsid w:val="00B11135"/>
    <w:rsid w:val="00B11430"/>
    <w:rsid w:val="00B1197B"/>
    <w:rsid w:val="00B15192"/>
    <w:rsid w:val="00B15D57"/>
    <w:rsid w:val="00B16A4D"/>
    <w:rsid w:val="00B20B0B"/>
    <w:rsid w:val="00B20BD0"/>
    <w:rsid w:val="00B20C2E"/>
    <w:rsid w:val="00B20D3F"/>
    <w:rsid w:val="00B21850"/>
    <w:rsid w:val="00B21889"/>
    <w:rsid w:val="00B21E76"/>
    <w:rsid w:val="00B22D01"/>
    <w:rsid w:val="00B239C7"/>
    <w:rsid w:val="00B24155"/>
    <w:rsid w:val="00B245BE"/>
    <w:rsid w:val="00B25652"/>
    <w:rsid w:val="00B26A40"/>
    <w:rsid w:val="00B272C0"/>
    <w:rsid w:val="00B27EC3"/>
    <w:rsid w:val="00B304FD"/>
    <w:rsid w:val="00B308A4"/>
    <w:rsid w:val="00B31702"/>
    <w:rsid w:val="00B32129"/>
    <w:rsid w:val="00B32198"/>
    <w:rsid w:val="00B32481"/>
    <w:rsid w:val="00B325E0"/>
    <w:rsid w:val="00B328A4"/>
    <w:rsid w:val="00B32F58"/>
    <w:rsid w:val="00B34A7D"/>
    <w:rsid w:val="00B34EB0"/>
    <w:rsid w:val="00B353EB"/>
    <w:rsid w:val="00B35F06"/>
    <w:rsid w:val="00B3699F"/>
    <w:rsid w:val="00B36AA5"/>
    <w:rsid w:val="00B3730D"/>
    <w:rsid w:val="00B373B3"/>
    <w:rsid w:val="00B3774E"/>
    <w:rsid w:val="00B403E8"/>
    <w:rsid w:val="00B404F9"/>
    <w:rsid w:val="00B40DE4"/>
    <w:rsid w:val="00B411EF"/>
    <w:rsid w:val="00B412DC"/>
    <w:rsid w:val="00B418EC"/>
    <w:rsid w:val="00B41FC0"/>
    <w:rsid w:val="00B42DA8"/>
    <w:rsid w:val="00B4359B"/>
    <w:rsid w:val="00B439C4"/>
    <w:rsid w:val="00B43A2B"/>
    <w:rsid w:val="00B43AD6"/>
    <w:rsid w:val="00B43FF4"/>
    <w:rsid w:val="00B4535E"/>
    <w:rsid w:val="00B45A90"/>
    <w:rsid w:val="00B45B76"/>
    <w:rsid w:val="00B45D68"/>
    <w:rsid w:val="00B46E2B"/>
    <w:rsid w:val="00B47293"/>
    <w:rsid w:val="00B47D1D"/>
    <w:rsid w:val="00B47FFD"/>
    <w:rsid w:val="00B50B12"/>
    <w:rsid w:val="00B50D29"/>
    <w:rsid w:val="00B512C6"/>
    <w:rsid w:val="00B51366"/>
    <w:rsid w:val="00B51D2A"/>
    <w:rsid w:val="00B52A8C"/>
    <w:rsid w:val="00B52B1F"/>
    <w:rsid w:val="00B52B73"/>
    <w:rsid w:val="00B52D36"/>
    <w:rsid w:val="00B52EB5"/>
    <w:rsid w:val="00B5451E"/>
    <w:rsid w:val="00B55260"/>
    <w:rsid w:val="00B555F4"/>
    <w:rsid w:val="00B55F00"/>
    <w:rsid w:val="00B56353"/>
    <w:rsid w:val="00B57621"/>
    <w:rsid w:val="00B605F3"/>
    <w:rsid w:val="00B60B1D"/>
    <w:rsid w:val="00B60EB9"/>
    <w:rsid w:val="00B60F18"/>
    <w:rsid w:val="00B61202"/>
    <w:rsid w:val="00B61928"/>
    <w:rsid w:val="00B61EC0"/>
    <w:rsid w:val="00B620B5"/>
    <w:rsid w:val="00B636A8"/>
    <w:rsid w:val="00B63F83"/>
    <w:rsid w:val="00B64747"/>
    <w:rsid w:val="00B64BB0"/>
    <w:rsid w:val="00B654D8"/>
    <w:rsid w:val="00B65D12"/>
    <w:rsid w:val="00B65E0B"/>
    <w:rsid w:val="00B6625F"/>
    <w:rsid w:val="00B665C6"/>
    <w:rsid w:val="00B673CC"/>
    <w:rsid w:val="00B675D5"/>
    <w:rsid w:val="00B67C36"/>
    <w:rsid w:val="00B67F51"/>
    <w:rsid w:val="00B70A00"/>
    <w:rsid w:val="00B74EC1"/>
    <w:rsid w:val="00B75090"/>
    <w:rsid w:val="00B7542A"/>
    <w:rsid w:val="00B76836"/>
    <w:rsid w:val="00B76F82"/>
    <w:rsid w:val="00B77BAF"/>
    <w:rsid w:val="00B80279"/>
    <w:rsid w:val="00B805AF"/>
    <w:rsid w:val="00B820A6"/>
    <w:rsid w:val="00B8264C"/>
    <w:rsid w:val="00B835A6"/>
    <w:rsid w:val="00B83BE6"/>
    <w:rsid w:val="00B8413A"/>
    <w:rsid w:val="00B8415B"/>
    <w:rsid w:val="00B84737"/>
    <w:rsid w:val="00B848E1"/>
    <w:rsid w:val="00B84DAF"/>
    <w:rsid w:val="00B85351"/>
    <w:rsid w:val="00B853BC"/>
    <w:rsid w:val="00B869EC"/>
    <w:rsid w:val="00B86D92"/>
    <w:rsid w:val="00B873B2"/>
    <w:rsid w:val="00B901A2"/>
    <w:rsid w:val="00B923E9"/>
    <w:rsid w:val="00B9302E"/>
    <w:rsid w:val="00B9397A"/>
    <w:rsid w:val="00B93B43"/>
    <w:rsid w:val="00B93CF6"/>
    <w:rsid w:val="00B93E34"/>
    <w:rsid w:val="00B944DB"/>
    <w:rsid w:val="00B94624"/>
    <w:rsid w:val="00B9462F"/>
    <w:rsid w:val="00B9548C"/>
    <w:rsid w:val="00B9633D"/>
    <w:rsid w:val="00B9661D"/>
    <w:rsid w:val="00BA092D"/>
    <w:rsid w:val="00BA0B13"/>
    <w:rsid w:val="00BA18EC"/>
    <w:rsid w:val="00BA1D75"/>
    <w:rsid w:val="00BA215C"/>
    <w:rsid w:val="00BA297C"/>
    <w:rsid w:val="00BA2EBE"/>
    <w:rsid w:val="00BA4AE3"/>
    <w:rsid w:val="00BA50AA"/>
    <w:rsid w:val="00BA5248"/>
    <w:rsid w:val="00BA6216"/>
    <w:rsid w:val="00BB0F28"/>
    <w:rsid w:val="00BB1241"/>
    <w:rsid w:val="00BB17D8"/>
    <w:rsid w:val="00BB2584"/>
    <w:rsid w:val="00BB3555"/>
    <w:rsid w:val="00BB35A6"/>
    <w:rsid w:val="00BB391F"/>
    <w:rsid w:val="00BB458A"/>
    <w:rsid w:val="00BB5493"/>
    <w:rsid w:val="00BB621E"/>
    <w:rsid w:val="00BB64BF"/>
    <w:rsid w:val="00BB68C6"/>
    <w:rsid w:val="00BB6E1E"/>
    <w:rsid w:val="00BC07A0"/>
    <w:rsid w:val="00BC12D4"/>
    <w:rsid w:val="00BC12D7"/>
    <w:rsid w:val="00BC1581"/>
    <w:rsid w:val="00BC33D0"/>
    <w:rsid w:val="00BC367A"/>
    <w:rsid w:val="00BC4404"/>
    <w:rsid w:val="00BC48B2"/>
    <w:rsid w:val="00BC4D7B"/>
    <w:rsid w:val="00BC5F50"/>
    <w:rsid w:val="00BC6C1E"/>
    <w:rsid w:val="00BC7807"/>
    <w:rsid w:val="00BD00D3"/>
    <w:rsid w:val="00BD050D"/>
    <w:rsid w:val="00BD0746"/>
    <w:rsid w:val="00BD0CD8"/>
    <w:rsid w:val="00BD0F63"/>
    <w:rsid w:val="00BD1659"/>
    <w:rsid w:val="00BD1C2D"/>
    <w:rsid w:val="00BD2382"/>
    <w:rsid w:val="00BD2B37"/>
    <w:rsid w:val="00BD3144"/>
    <w:rsid w:val="00BD3AA9"/>
    <w:rsid w:val="00BD3B5B"/>
    <w:rsid w:val="00BD3C00"/>
    <w:rsid w:val="00BD3C6E"/>
    <w:rsid w:val="00BD41B9"/>
    <w:rsid w:val="00BD4A18"/>
    <w:rsid w:val="00BD4CF4"/>
    <w:rsid w:val="00BD4E02"/>
    <w:rsid w:val="00BD5192"/>
    <w:rsid w:val="00BD535A"/>
    <w:rsid w:val="00BD69F8"/>
    <w:rsid w:val="00BD6DB2"/>
    <w:rsid w:val="00BD78BB"/>
    <w:rsid w:val="00BE02E4"/>
    <w:rsid w:val="00BE041D"/>
    <w:rsid w:val="00BE0E09"/>
    <w:rsid w:val="00BE0E4A"/>
    <w:rsid w:val="00BE114A"/>
    <w:rsid w:val="00BE114D"/>
    <w:rsid w:val="00BE11CF"/>
    <w:rsid w:val="00BE1CCC"/>
    <w:rsid w:val="00BE21AB"/>
    <w:rsid w:val="00BE21E5"/>
    <w:rsid w:val="00BE2E7C"/>
    <w:rsid w:val="00BE3D9A"/>
    <w:rsid w:val="00BE48B0"/>
    <w:rsid w:val="00BE4CDA"/>
    <w:rsid w:val="00BE527F"/>
    <w:rsid w:val="00BE54D0"/>
    <w:rsid w:val="00BE54F2"/>
    <w:rsid w:val="00BE55CB"/>
    <w:rsid w:val="00BE5792"/>
    <w:rsid w:val="00BE5F3E"/>
    <w:rsid w:val="00BE6882"/>
    <w:rsid w:val="00BE6910"/>
    <w:rsid w:val="00BE7049"/>
    <w:rsid w:val="00BE7136"/>
    <w:rsid w:val="00BE73C5"/>
    <w:rsid w:val="00BF0CED"/>
    <w:rsid w:val="00BF0FB5"/>
    <w:rsid w:val="00BF2705"/>
    <w:rsid w:val="00BF2F01"/>
    <w:rsid w:val="00BF353C"/>
    <w:rsid w:val="00BF3B17"/>
    <w:rsid w:val="00BF617A"/>
    <w:rsid w:val="00BF6D6A"/>
    <w:rsid w:val="00BF7051"/>
    <w:rsid w:val="00BF71C1"/>
    <w:rsid w:val="00C00AEE"/>
    <w:rsid w:val="00C00D89"/>
    <w:rsid w:val="00C011EC"/>
    <w:rsid w:val="00C0122E"/>
    <w:rsid w:val="00C02FA7"/>
    <w:rsid w:val="00C03134"/>
    <w:rsid w:val="00C0379D"/>
    <w:rsid w:val="00C03931"/>
    <w:rsid w:val="00C03A86"/>
    <w:rsid w:val="00C03D62"/>
    <w:rsid w:val="00C03FAD"/>
    <w:rsid w:val="00C04133"/>
    <w:rsid w:val="00C05D4A"/>
    <w:rsid w:val="00C05FE3"/>
    <w:rsid w:val="00C06027"/>
    <w:rsid w:val="00C06259"/>
    <w:rsid w:val="00C069BA"/>
    <w:rsid w:val="00C07E58"/>
    <w:rsid w:val="00C102CD"/>
    <w:rsid w:val="00C1050B"/>
    <w:rsid w:val="00C10FA0"/>
    <w:rsid w:val="00C11FE3"/>
    <w:rsid w:val="00C1205E"/>
    <w:rsid w:val="00C13C9B"/>
    <w:rsid w:val="00C1498A"/>
    <w:rsid w:val="00C14BC1"/>
    <w:rsid w:val="00C15D3E"/>
    <w:rsid w:val="00C16C76"/>
    <w:rsid w:val="00C20A74"/>
    <w:rsid w:val="00C2136D"/>
    <w:rsid w:val="00C214EE"/>
    <w:rsid w:val="00C21AC8"/>
    <w:rsid w:val="00C21CD2"/>
    <w:rsid w:val="00C2218D"/>
    <w:rsid w:val="00C225C6"/>
    <w:rsid w:val="00C2314B"/>
    <w:rsid w:val="00C23572"/>
    <w:rsid w:val="00C23666"/>
    <w:rsid w:val="00C24971"/>
    <w:rsid w:val="00C24E18"/>
    <w:rsid w:val="00C26BE5"/>
    <w:rsid w:val="00C26E4D"/>
    <w:rsid w:val="00C274F9"/>
    <w:rsid w:val="00C27909"/>
    <w:rsid w:val="00C27B03"/>
    <w:rsid w:val="00C27C4D"/>
    <w:rsid w:val="00C3087D"/>
    <w:rsid w:val="00C30BA5"/>
    <w:rsid w:val="00C30BCA"/>
    <w:rsid w:val="00C30BE0"/>
    <w:rsid w:val="00C30C0A"/>
    <w:rsid w:val="00C314E1"/>
    <w:rsid w:val="00C318AC"/>
    <w:rsid w:val="00C31D58"/>
    <w:rsid w:val="00C32204"/>
    <w:rsid w:val="00C326BE"/>
    <w:rsid w:val="00C33A96"/>
    <w:rsid w:val="00C33D83"/>
    <w:rsid w:val="00C34397"/>
    <w:rsid w:val="00C349AE"/>
    <w:rsid w:val="00C3578D"/>
    <w:rsid w:val="00C35962"/>
    <w:rsid w:val="00C36782"/>
    <w:rsid w:val="00C36EF3"/>
    <w:rsid w:val="00C4095D"/>
    <w:rsid w:val="00C41085"/>
    <w:rsid w:val="00C4157D"/>
    <w:rsid w:val="00C41A64"/>
    <w:rsid w:val="00C41BC4"/>
    <w:rsid w:val="00C429D3"/>
    <w:rsid w:val="00C42A01"/>
    <w:rsid w:val="00C42AB4"/>
    <w:rsid w:val="00C43405"/>
    <w:rsid w:val="00C4394E"/>
    <w:rsid w:val="00C44396"/>
    <w:rsid w:val="00C44A98"/>
    <w:rsid w:val="00C44EE4"/>
    <w:rsid w:val="00C457D8"/>
    <w:rsid w:val="00C458EE"/>
    <w:rsid w:val="00C472C3"/>
    <w:rsid w:val="00C4747F"/>
    <w:rsid w:val="00C47C1A"/>
    <w:rsid w:val="00C47CC0"/>
    <w:rsid w:val="00C501E2"/>
    <w:rsid w:val="00C50E02"/>
    <w:rsid w:val="00C515C9"/>
    <w:rsid w:val="00C5169A"/>
    <w:rsid w:val="00C51ED7"/>
    <w:rsid w:val="00C52711"/>
    <w:rsid w:val="00C52974"/>
    <w:rsid w:val="00C52BC3"/>
    <w:rsid w:val="00C530E8"/>
    <w:rsid w:val="00C54098"/>
    <w:rsid w:val="00C540D1"/>
    <w:rsid w:val="00C545E0"/>
    <w:rsid w:val="00C5520C"/>
    <w:rsid w:val="00C55473"/>
    <w:rsid w:val="00C56FA5"/>
    <w:rsid w:val="00C57034"/>
    <w:rsid w:val="00C5757C"/>
    <w:rsid w:val="00C579EF"/>
    <w:rsid w:val="00C57FB4"/>
    <w:rsid w:val="00C601D2"/>
    <w:rsid w:val="00C6025D"/>
    <w:rsid w:val="00C60798"/>
    <w:rsid w:val="00C6161D"/>
    <w:rsid w:val="00C62017"/>
    <w:rsid w:val="00C62E66"/>
    <w:rsid w:val="00C633F9"/>
    <w:rsid w:val="00C65B43"/>
    <w:rsid w:val="00C65BCC"/>
    <w:rsid w:val="00C66970"/>
    <w:rsid w:val="00C67433"/>
    <w:rsid w:val="00C701D9"/>
    <w:rsid w:val="00C704C8"/>
    <w:rsid w:val="00C7109F"/>
    <w:rsid w:val="00C71C93"/>
    <w:rsid w:val="00C71DEB"/>
    <w:rsid w:val="00C72389"/>
    <w:rsid w:val="00C72608"/>
    <w:rsid w:val="00C7283E"/>
    <w:rsid w:val="00C7304B"/>
    <w:rsid w:val="00C73B88"/>
    <w:rsid w:val="00C74143"/>
    <w:rsid w:val="00C7534F"/>
    <w:rsid w:val="00C75634"/>
    <w:rsid w:val="00C75B7C"/>
    <w:rsid w:val="00C75F0C"/>
    <w:rsid w:val="00C77C4C"/>
    <w:rsid w:val="00C77CE7"/>
    <w:rsid w:val="00C80CBF"/>
    <w:rsid w:val="00C81620"/>
    <w:rsid w:val="00C81CF1"/>
    <w:rsid w:val="00C821FC"/>
    <w:rsid w:val="00C8222F"/>
    <w:rsid w:val="00C83916"/>
    <w:rsid w:val="00C83B11"/>
    <w:rsid w:val="00C84023"/>
    <w:rsid w:val="00C845B2"/>
    <w:rsid w:val="00C84657"/>
    <w:rsid w:val="00C84EB2"/>
    <w:rsid w:val="00C84EF0"/>
    <w:rsid w:val="00C8586B"/>
    <w:rsid w:val="00C85C76"/>
    <w:rsid w:val="00C85C7F"/>
    <w:rsid w:val="00C85EBE"/>
    <w:rsid w:val="00C860A3"/>
    <w:rsid w:val="00C86378"/>
    <w:rsid w:val="00C8691C"/>
    <w:rsid w:val="00C869C2"/>
    <w:rsid w:val="00C872F6"/>
    <w:rsid w:val="00C87D51"/>
    <w:rsid w:val="00C91A3E"/>
    <w:rsid w:val="00C92ED2"/>
    <w:rsid w:val="00C931E8"/>
    <w:rsid w:val="00C93FFA"/>
    <w:rsid w:val="00C9411A"/>
    <w:rsid w:val="00C94A1F"/>
    <w:rsid w:val="00C95560"/>
    <w:rsid w:val="00C95E39"/>
    <w:rsid w:val="00C9631E"/>
    <w:rsid w:val="00C9654B"/>
    <w:rsid w:val="00C96F3F"/>
    <w:rsid w:val="00C9714C"/>
    <w:rsid w:val="00C9742F"/>
    <w:rsid w:val="00C9760B"/>
    <w:rsid w:val="00C97AD3"/>
    <w:rsid w:val="00CA06EA"/>
    <w:rsid w:val="00CA10A8"/>
    <w:rsid w:val="00CA168A"/>
    <w:rsid w:val="00CA2C67"/>
    <w:rsid w:val="00CA357E"/>
    <w:rsid w:val="00CA36A1"/>
    <w:rsid w:val="00CA44F9"/>
    <w:rsid w:val="00CA45CF"/>
    <w:rsid w:val="00CA4840"/>
    <w:rsid w:val="00CA4A69"/>
    <w:rsid w:val="00CA4A6A"/>
    <w:rsid w:val="00CA4E3A"/>
    <w:rsid w:val="00CB03FF"/>
    <w:rsid w:val="00CB0B68"/>
    <w:rsid w:val="00CB13EF"/>
    <w:rsid w:val="00CB14AD"/>
    <w:rsid w:val="00CB19ED"/>
    <w:rsid w:val="00CB1B17"/>
    <w:rsid w:val="00CB1B2B"/>
    <w:rsid w:val="00CB1E63"/>
    <w:rsid w:val="00CB2893"/>
    <w:rsid w:val="00CB29F7"/>
    <w:rsid w:val="00CB33F1"/>
    <w:rsid w:val="00CB365C"/>
    <w:rsid w:val="00CB43B9"/>
    <w:rsid w:val="00CB4B02"/>
    <w:rsid w:val="00CB4EA5"/>
    <w:rsid w:val="00CB5096"/>
    <w:rsid w:val="00CB55DA"/>
    <w:rsid w:val="00CB6988"/>
    <w:rsid w:val="00CB6ABD"/>
    <w:rsid w:val="00CB7813"/>
    <w:rsid w:val="00CC0469"/>
    <w:rsid w:val="00CC05B7"/>
    <w:rsid w:val="00CC2BE2"/>
    <w:rsid w:val="00CC3E0C"/>
    <w:rsid w:val="00CC3E57"/>
    <w:rsid w:val="00CC476A"/>
    <w:rsid w:val="00CC4FC5"/>
    <w:rsid w:val="00CC58D3"/>
    <w:rsid w:val="00CC5E3D"/>
    <w:rsid w:val="00CC784D"/>
    <w:rsid w:val="00CC7C88"/>
    <w:rsid w:val="00CD014B"/>
    <w:rsid w:val="00CD03BE"/>
    <w:rsid w:val="00CD0A5B"/>
    <w:rsid w:val="00CD1B39"/>
    <w:rsid w:val="00CD1C8B"/>
    <w:rsid w:val="00CD2BC4"/>
    <w:rsid w:val="00CD3804"/>
    <w:rsid w:val="00CD39D6"/>
    <w:rsid w:val="00CD424A"/>
    <w:rsid w:val="00CD46C5"/>
    <w:rsid w:val="00CD49BD"/>
    <w:rsid w:val="00CD4FA0"/>
    <w:rsid w:val="00CD5290"/>
    <w:rsid w:val="00CD5E7F"/>
    <w:rsid w:val="00CD6EB5"/>
    <w:rsid w:val="00CD722D"/>
    <w:rsid w:val="00CE09E9"/>
    <w:rsid w:val="00CE1A64"/>
    <w:rsid w:val="00CE375D"/>
    <w:rsid w:val="00CE418A"/>
    <w:rsid w:val="00CE4A9C"/>
    <w:rsid w:val="00CE4D38"/>
    <w:rsid w:val="00CE51B0"/>
    <w:rsid w:val="00CE54DE"/>
    <w:rsid w:val="00CE5FEB"/>
    <w:rsid w:val="00CE6A2D"/>
    <w:rsid w:val="00CE6CAE"/>
    <w:rsid w:val="00CE6FE1"/>
    <w:rsid w:val="00CF0863"/>
    <w:rsid w:val="00CF1742"/>
    <w:rsid w:val="00CF2CC3"/>
    <w:rsid w:val="00CF2CD9"/>
    <w:rsid w:val="00CF3F1C"/>
    <w:rsid w:val="00CF4348"/>
    <w:rsid w:val="00CF4A99"/>
    <w:rsid w:val="00CF523D"/>
    <w:rsid w:val="00D00180"/>
    <w:rsid w:val="00D00646"/>
    <w:rsid w:val="00D00B6C"/>
    <w:rsid w:val="00D00BF2"/>
    <w:rsid w:val="00D00C8B"/>
    <w:rsid w:val="00D0221F"/>
    <w:rsid w:val="00D023F8"/>
    <w:rsid w:val="00D027BE"/>
    <w:rsid w:val="00D02915"/>
    <w:rsid w:val="00D0337B"/>
    <w:rsid w:val="00D03AA6"/>
    <w:rsid w:val="00D04B4A"/>
    <w:rsid w:val="00D05750"/>
    <w:rsid w:val="00D057A7"/>
    <w:rsid w:val="00D059FC"/>
    <w:rsid w:val="00D0615C"/>
    <w:rsid w:val="00D06476"/>
    <w:rsid w:val="00D07739"/>
    <w:rsid w:val="00D077EC"/>
    <w:rsid w:val="00D079B2"/>
    <w:rsid w:val="00D07C14"/>
    <w:rsid w:val="00D10B85"/>
    <w:rsid w:val="00D10D34"/>
    <w:rsid w:val="00D10F1F"/>
    <w:rsid w:val="00D114D9"/>
    <w:rsid w:val="00D114E9"/>
    <w:rsid w:val="00D125D6"/>
    <w:rsid w:val="00D12641"/>
    <w:rsid w:val="00D13248"/>
    <w:rsid w:val="00D13286"/>
    <w:rsid w:val="00D13EC2"/>
    <w:rsid w:val="00D140EA"/>
    <w:rsid w:val="00D1435F"/>
    <w:rsid w:val="00D145B5"/>
    <w:rsid w:val="00D1485B"/>
    <w:rsid w:val="00D1645A"/>
    <w:rsid w:val="00D16D3B"/>
    <w:rsid w:val="00D17B4E"/>
    <w:rsid w:val="00D201CC"/>
    <w:rsid w:val="00D207B5"/>
    <w:rsid w:val="00D210C7"/>
    <w:rsid w:val="00D214A3"/>
    <w:rsid w:val="00D23EAA"/>
    <w:rsid w:val="00D23F8C"/>
    <w:rsid w:val="00D24C30"/>
    <w:rsid w:val="00D25FE2"/>
    <w:rsid w:val="00D26A56"/>
    <w:rsid w:val="00D278DE"/>
    <w:rsid w:val="00D2795B"/>
    <w:rsid w:val="00D30C5C"/>
    <w:rsid w:val="00D30E35"/>
    <w:rsid w:val="00D30F17"/>
    <w:rsid w:val="00D319AC"/>
    <w:rsid w:val="00D31EB4"/>
    <w:rsid w:val="00D32889"/>
    <w:rsid w:val="00D32A82"/>
    <w:rsid w:val="00D32D31"/>
    <w:rsid w:val="00D34051"/>
    <w:rsid w:val="00D34EB6"/>
    <w:rsid w:val="00D34FC0"/>
    <w:rsid w:val="00D3504D"/>
    <w:rsid w:val="00D355A0"/>
    <w:rsid w:val="00D3691E"/>
    <w:rsid w:val="00D37CD4"/>
    <w:rsid w:val="00D401A7"/>
    <w:rsid w:val="00D40F3B"/>
    <w:rsid w:val="00D413BF"/>
    <w:rsid w:val="00D413CC"/>
    <w:rsid w:val="00D41746"/>
    <w:rsid w:val="00D41B2E"/>
    <w:rsid w:val="00D41BEC"/>
    <w:rsid w:val="00D429C6"/>
    <w:rsid w:val="00D435DB"/>
    <w:rsid w:val="00D43659"/>
    <w:rsid w:val="00D43DD5"/>
    <w:rsid w:val="00D43FDD"/>
    <w:rsid w:val="00D44055"/>
    <w:rsid w:val="00D442B3"/>
    <w:rsid w:val="00D4489F"/>
    <w:rsid w:val="00D4573E"/>
    <w:rsid w:val="00D458C9"/>
    <w:rsid w:val="00D463E9"/>
    <w:rsid w:val="00D46B7D"/>
    <w:rsid w:val="00D47748"/>
    <w:rsid w:val="00D50FB2"/>
    <w:rsid w:val="00D51165"/>
    <w:rsid w:val="00D53223"/>
    <w:rsid w:val="00D53443"/>
    <w:rsid w:val="00D5366F"/>
    <w:rsid w:val="00D53915"/>
    <w:rsid w:val="00D5403A"/>
    <w:rsid w:val="00D54917"/>
    <w:rsid w:val="00D54A1D"/>
    <w:rsid w:val="00D54CC3"/>
    <w:rsid w:val="00D54F88"/>
    <w:rsid w:val="00D55B0C"/>
    <w:rsid w:val="00D5661C"/>
    <w:rsid w:val="00D56693"/>
    <w:rsid w:val="00D57125"/>
    <w:rsid w:val="00D57C54"/>
    <w:rsid w:val="00D57F4B"/>
    <w:rsid w:val="00D6041A"/>
    <w:rsid w:val="00D606F8"/>
    <w:rsid w:val="00D60A87"/>
    <w:rsid w:val="00D60A9C"/>
    <w:rsid w:val="00D610DA"/>
    <w:rsid w:val="00D614AC"/>
    <w:rsid w:val="00D619FC"/>
    <w:rsid w:val="00D61CFC"/>
    <w:rsid w:val="00D61F99"/>
    <w:rsid w:val="00D62141"/>
    <w:rsid w:val="00D6225B"/>
    <w:rsid w:val="00D62518"/>
    <w:rsid w:val="00D6271C"/>
    <w:rsid w:val="00D6275B"/>
    <w:rsid w:val="00D631B5"/>
    <w:rsid w:val="00D63288"/>
    <w:rsid w:val="00D633EB"/>
    <w:rsid w:val="00D63880"/>
    <w:rsid w:val="00D6394D"/>
    <w:rsid w:val="00D63B8C"/>
    <w:rsid w:val="00D63F96"/>
    <w:rsid w:val="00D65804"/>
    <w:rsid w:val="00D66D13"/>
    <w:rsid w:val="00D6762F"/>
    <w:rsid w:val="00D707E3"/>
    <w:rsid w:val="00D72A1C"/>
    <w:rsid w:val="00D72AED"/>
    <w:rsid w:val="00D72DBB"/>
    <w:rsid w:val="00D72DBE"/>
    <w:rsid w:val="00D73299"/>
    <w:rsid w:val="00D732D8"/>
    <w:rsid w:val="00D73AF2"/>
    <w:rsid w:val="00D73C57"/>
    <w:rsid w:val="00D73DFE"/>
    <w:rsid w:val="00D74E02"/>
    <w:rsid w:val="00D75367"/>
    <w:rsid w:val="00D754E0"/>
    <w:rsid w:val="00D75611"/>
    <w:rsid w:val="00D75B0C"/>
    <w:rsid w:val="00D75BED"/>
    <w:rsid w:val="00D76346"/>
    <w:rsid w:val="00D7637D"/>
    <w:rsid w:val="00D765EF"/>
    <w:rsid w:val="00D76FF8"/>
    <w:rsid w:val="00D771D3"/>
    <w:rsid w:val="00D77BF5"/>
    <w:rsid w:val="00D804F4"/>
    <w:rsid w:val="00D8111B"/>
    <w:rsid w:val="00D81A1F"/>
    <w:rsid w:val="00D81DF3"/>
    <w:rsid w:val="00D81F27"/>
    <w:rsid w:val="00D82AB1"/>
    <w:rsid w:val="00D82FF7"/>
    <w:rsid w:val="00D83FE8"/>
    <w:rsid w:val="00D847FE"/>
    <w:rsid w:val="00D85844"/>
    <w:rsid w:val="00D85B70"/>
    <w:rsid w:val="00D86105"/>
    <w:rsid w:val="00D865E2"/>
    <w:rsid w:val="00D8676E"/>
    <w:rsid w:val="00D86A58"/>
    <w:rsid w:val="00D86BBF"/>
    <w:rsid w:val="00D91215"/>
    <w:rsid w:val="00D921CC"/>
    <w:rsid w:val="00D92390"/>
    <w:rsid w:val="00D9256C"/>
    <w:rsid w:val="00D92B38"/>
    <w:rsid w:val="00D92FDF"/>
    <w:rsid w:val="00D9476F"/>
    <w:rsid w:val="00D947FB"/>
    <w:rsid w:val="00D96078"/>
    <w:rsid w:val="00D964EA"/>
    <w:rsid w:val="00D966D0"/>
    <w:rsid w:val="00D979F1"/>
    <w:rsid w:val="00D97BBC"/>
    <w:rsid w:val="00D97DE3"/>
    <w:rsid w:val="00D97E12"/>
    <w:rsid w:val="00DA01BF"/>
    <w:rsid w:val="00DA0C59"/>
    <w:rsid w:val="00DA2A21"/>
    <w:rsid w:val="00DA2A52"/>
    <w:rsid w:val="00DA2B4A"/>
    <w:rsid w:val="00DA2B9F"/>
    <w:rsid w:val="00DA2C26"/>
    <w:rsid w:val="00DA2D9C"/>
    <w:rsid w:val="00DA37CA"/>
    <w:rsid w:val="00DA3991"/>
    <w:rsid w:val="00DA3A72"/>
    <w:rsid w:val="00DA3AC4"/>
    <w:rsid w:val="00DA5BAE"/>
    <w:rsid w:val="00DA5BC9"/>
    <w:rsid w:val="00DA6195"/>
    <w:rsid w:val="00DA6D28"/>
    <w:rsid w:val="00DA6D4D"/>
    <w:rsid w:val="00DA76E3"/>
    <w:rsid w:val="00DA7853"/>
    <w:rsid w:val="00DA7F2F"/>
    <w:rsid w:val="00DB0219"/>
    <w:rsid w:val="00DB0A4F"/>
    <w:rsid w:val="00DB0C14"/>
    <w:rsid w:val="00DB2264"/>
    <w:rsid w:val="00DB3403"/>
    <w:rsid w:val="00DB343C"/>
    <w:rsid w:val="00DB3821"/>
    <w:rsid w:val="00DB3928"/>
    <w:rsid w:val="00DB41EF"/>
    <w:rsid w:val="00DB441E"/>
    <w:rsid w:val="00DB49D0"/>
    <w:rsid w:val="00DB511D"/>
    <w:rsid w:val="00DB5987"/>
    <w:rsid w:val="00DB6B5B"/>
    <w:rsid w:val="00DB7E6C"/>
    <w:rsid w:val="00DC1750"/>
    <w:rsid w:val="00DC19FD"/>
    <w:rsid w:val="00DC1D77"/>
    <w:rsid w:val="00DC3962"/>
    <w:rsid w:val="00DC408D"/>
    <w:rsid w:val="00DC5307"/>
    <w:rsid w:val="00DC56CE"/>
    <w:rsid w:val="00DD00D2"/>
    <w:rsid w:val="00DD0123"/>
    <w:rsid w:val="00DD126D"/>
    <w:rsid w:val="00DD166D"/>
    <w:rsid w:val="00DD3128"/>
    <w:rsid w:val="00DD32A1"/>
    <w:rsid w:val="00DD3592"/>
    <w:rsid w:val="00DD3F31"/>
    <w:rsid w:val="00DD47FE"/>
    <w:rsid w:val="00DD561B"/>
    <w:rsid w:val="00DD5A29"/>
    <w:rsid w:val="00DD5D9D"/>
    <w:rsid w:val="00DD6295"/>
    <w:rsid w:val="00DD67AF"/>
    <w:rsid w:val="00DD6ADE"/>
    <w:rsid w:val="00DD6DF6"/>
    <w:rsid w:val="00DE0CDF"/>
    <w:rsid w:val="00DE1077"/>
    <w:rsid w:val="00DE160F"/>
    <w:rsid w:val="00DE2520"/>
    <w:rsid w:val="00DE35CB"/>
    <w:rsid w:val="00DE3619"/>
    <w:rsid w:val="00DE3880"/>
    <w:rsid w:val="00DE3EFB"/>
    <w:rsid w:val="00DE454E"/>
    <w:rsid w:val="00DE4ED6"/>
    <w:rsid w:val="00DE51B0"/>
    <w:rsid w:val="00DE5B32"/>
    <w:rsid w:val="00DE5BBC"/>
    <w:rsid w:val="00DE5CEF"/>
    <w:rsid w:val="00DE5DF6"/>
    <w:rsid w:val="00DE6A46"/>
    <w:rsid w:val="00DE77DF"/>
    <w:rsid w:val="00DE7F8F"/>
    <w:rsid w:val="00DF05CD"/>
    <w:rsid w:val="00DF1546"/>
    <w:rsid w:val="00DF21E9"/>
    <w:rsid w:val="00DF2516"/>
    <w:rsid w:val="00DF296E"/>
    <w:rsid w:val="00DF2A90"/>
    <w:rsid w:val="00DF2E1A"/>
    <w:rsid w:val="00DF306F"/>
    <w:rsid w:val="00DF3879"/>
    <w:rsid w:val="00DF592C"/>
    <w:rsid w:val="00DF697F"/>
    <w:rsid w:val="00DF6E3E"/>
    <w:rsid w:val="00DF768E"/>
    <w:rsid w:val="00E00BED"/>
    <w:rsid w:val="00E00F14"/>
    <w:rsid w:val="00E01EA2"/>
    <w:rsid w:val="00E027B2"/>
    <w:rsid w:val="00E037C9"/>
    <w:rsid w:val="00E03A2D"/>
    <w:rsid w:val="00E03E84"/>
    <w:rsid w:val="00E04434"/>
    <w:rsid w:val="00E053B5"/>
    <w:rsid w:val="00E05A07"/>
    <w:rsid w:val="00E06386"/>
    <w:rsid w:val="00E06BCE"/>
    <w:rsid w:val="00E10DE6"/>
    <w:rsid w:val="00E112CD"/>
    <w:rsid w:val="00E11408"/>
    <w:rsid w:val="00E11C26"/>
    <w:rsid w:val="00E122C6"/>
    <w:rsid w:val="00E125EA"/>
    <w:rsid w:val="00E12873"/>
    <w:rsid w:val="00E12F98"/>
    <w:rsid w:val="00E1336F"/>
    <w:rsid w:val="00E145EF"/>
    <w:rsid w:val="00E154E4"/>
    <w:rsid w:val="00E15953"/>
    <w:rsid w:val="00E15ACE"/>
    <w:rsid w:val="00E15D64"/>
    <w:rsid w:val="00E1640F"/>
    <w:rsid w:val="00E16A3F"/>
    <w:rsid w:val="00E20A32"/>
    <w:rsid w:val="00E20FB0"/>
    <w:rsid w:val="00E21334"/>
    <w:rsid w:val="00E219E4"/>
    <w:rsid w:val="00E227DA"/>
    <w:rsid w:val="00E23326"/>
    <w:rsid w:val="00E237C1"/>
    <w:rsid w:val="00E23813"/>
    <w:rsid w:val="00E24296"/>
    <w:rsid w:val="00E24EB4"/>
    <w:rsid w:val="00E25443"/>
    <w:rsid w:val="00E25F3C"/>
    <w:rsid w:val="00E2601A"/>
    <w:rsid w:val="00E26132"/>
    <w:rsid w:val="00E26602"/>
    <w:rsid w:val="00E26784"/>
    <w:rsid w:val="00E26917"/>
    <w:rsid w:val="00E26B73"/>
    <w:rsid w:val="00E273FF"/>
    <w:rsid w:val="00E2798B"/>
    <w:rsid w:val="00E30149"/>
    <w:rsid w:val="00E30E94"/>
    <w:rsid w:val="00E30FD2"/>
    <w:rsid w:val="00E31255"/>
    <w:rsid w:val="00E320ED"/>
    <w:rsid w:val="00E322F1"/>
    <w:rsid w:val="00E3249B"/>
    <w:rsid w:val="00E33AFB"/>
    <w:rsid w:val="00E34218"/>
    <w:rsid w:val="00E34B7B"/>
    <w:rsid w:val="00E34F4C"/>
    <w:rsid w:val="00E3592D"/>
    <w:rsid w:val="00E37F3D"/>
    <w:rsid w:val="00E40DD6"/>
    <w:rsid w:val="00E41600"/>
    <w:rsid w:val="00E42C38"/>
    <w:rsid w:val="00E43611"/>
    <w:rsid w:val="00E43810"/>
    <w:rsid w:val="00E43A46"/>
    <w:rsid w:val="00E44067"/>
    <w:rsid w:val="00E440D8"/>
    <w:rsid w:val="00E4475C"/>
    <w:rsid w:val="00E45FC6"/>
    <w:rsid w:val="00E46282"/>
    <w:rsid w:val="00E46AA8"/>
    <w:rsid w:val="00E46AB1"/>
    <w:rsid w:val="00E479BF"/>
    <w:rsid w:val="00E5102B"/>
    <w:rsid w:val="00E5216E"/>
    <w:rsid w:val="00E528E8"/>
    <w:rsid w:val="00E52F40"/>
    <w:rsid w:val="00E54CBA"/>
    <w:rsid w:val="00E6058B"/>
    <w:rsid w:val="00E61F40"/>
    <w:rsid w:val="00E63960"/>
    <w:rsid w:val="00E640B1"/>
    <w:rsid w:val="00E644A6"/>
    <w:rsid w:val="00E65B4D"/>
    <w:rsid w:val="00E65B85"/>
    <w:rsid w:val="00E6614D"/>
    <w:rsid w:val="00E67581"/>
    <w:rsid w:val="00E70143"/>
    <w:rsid w:val="00E70456"/>
    <w:rsid w:val="00E70C35"/>
    <w:rsid w:val="00E70E33"/>
    <w:rsid w:val="00E70FB9"/>
    <w:rsid w:val="00E71097"/>
    <w:rsid w:val="00E716F2"/>
    <w:rsid w:val="00E71D16"/>
    <w:rsid w:val="00E7294C"/>
    <w:rsid w:val="00E72D46"/>
    <w:rsid w:val="00E730E0"/>
    <w:rsid w:val="00E739E1"/>
    <w:rsid w:val="00E73BE7"/>
    <w:rsid w:val="00E73CBC"/>
    <w:rsid w:val="00E741CA"/>
    <w:rsid w:val="00E75888"/>
    <w:rsid w:val="00E75AFC"/>
    <w:rsid w:val="00E761FE"/>
    <w:rsid w:val="00E77384"/>
    <w:rsid w:val="00E775F9"/>
    <w:rsid w:val="00E80330"/>
    <w:rsid w:val="00E80A6E"/>
    <w:rsid w:val="00E82344"/>
    <w:rsid w:val="00E82864"/>
    <w:rsid w:val="00E83261"/>
    <w:rsid w:val="00E834C3"/>
    <w:rsid w:val="00E84C82"/>
    <w:rsid w:val="00E84D64"/>
    <w:rsid w:val="00E8564E"/>
    <w:rsid w:val="00E85CA5"/>
    <w:rsid w:val="00E85E0A"/>
    <w:rsid w:val="00E86B55"/>
    <w:rsid w:val="00E87408"/>
    <w:rsid w:val="00E8751A"/>
    <w:rsid w:val="00E87C60"/>
    <w:rsid w:val="00E90457"/>
    <w:rsid w:val="00E90714"/>
    <w:rsid w:val="00E914C4"/>
    <w:rsid w:val="00E91B39"/>
    <w:rsid w:val="00E92212"/>
    <w:rsid w:val="00E92300"/>
    <w:rsid w:val="00E934F5"/>
    <w:rsid w:val="00E9414E"/>
    <w:rsid w:val="00E95941"/>
    <w:rsid w:val="00E95AF3"/>
    <w:rsid w:val="00E96433"/>
    <w:rsid w:val="00E96961"/>
    <w:rsid w:val="00EA067B"/>
    <w:rsid w:val="00EA09A1"/>
    <w:rsid w:val="00EA0FC5"/>
    <w:rsid w:val="00EA1EBE"/>
    <w:rsid w:val="00EA1FFE"/>
    <w:rsid w:val="00EA300E"/>
    <w:rsid w:val="00EA305A"/>
    <w:rsid w:val="00EA42F5"/>
    <w:rsid w:val="00EA45DF"/>
    <w:rsid w:val="00EA54D6"/>
    <w:rsid w:val="00EA57FC"/>
    <w:rsid w:val="00EA63D5"/>
    <w:rsid w:val="00EA66EA"/>
    <w:rsid w:val="00EA6B25"/>
    <w:rsid w:val="00EA72EC"/>
    <w:rsid w:val="00EA74AB"/>
    <w:rsid w:val="00EB0A86"/>
    <w:rsid w:val="00EB0EEC"/>
    <w:rsid w:val="00EB0F9C"/>
    <w:rsid w:val="00EB11CB"/>
    <w:rsid w:val="00EB275A"/>
    <w:rsid w:val="00EB44B8"/>
    <w:rsid w:val="00EB52DA"/>
    <w:rsid w:val="00EB5340"/>
    <w:rsid w:val="00EB55B9"/>
    <w:rsid w:val="00EB5FD9"/>
    <w:rsid w:val="00EB607A"/>
    <w:rsid w:val="00EB65AC"/>
    <w:rsid w:val="00EB786A"/>
    <w:rsid w:val="00EB7F07"/>
    <w:rsid w:val="00EC0290"/>
    <w:rsid w:val="00EC04E8"/>
    <w:rsid w:val="00EC152B"/>
    <w:rsid w:val="00EC1578"/>
    <w:rsid w:val="00EC1C72"/>
    <w:rsid w:val="00EC2692"/>
    <w:rsid w:val="00EC274F"/>
    <w:rsid w:val="00EC2C77"/>
    <w:rsid w:val="00EC2EBD"/>
    <w:rsid w:val="00EC33A7"/>
    <w:rsid w:val="00EC3CC9"/>
    <w:rsid w:val="00EC4D82"/>
    <w:rsid w:val="00EC680A"/>
    <w:rsid w:val="00EC684A"/>
    <w:rsid w:val="00EC7B79"/>
    <w:rsid w:val="00EC7BBA"/>
    <w:rsid w:val="00ED02F5"/>
    <w:rsid w:val="00ED0FC0"/>
    <w:rsid w:val="00ED4258"/>
    <w:rsid w:val="00ED46F0"/>
    <w:rsid w:val="00ED4870"/>
    <w:rsid w:val="00ED4BA2"/>
    <w:rsid w:val="00ED573D"/>
    <w:rsid w:val="00ED67DE"/>
    <w:rsid w:val="00ED6D59"/>
    <w:rsid w:val="00ED7878"/>
    <w:rsid w:val="00ED7C7B"/>
    <w:rsid w:val="00EE1222"/>
    <w:rsid w:val="00EE1EFE"/>
    <w:rsid w:val="00EE2BED"/>
    <w:rsid w:val="00EE3151"/>
    <w:rsid w:val="00EE374B"/>
    <w:rsid w:val="00EE3895"/>
    <w:rsid w:val="00EE3D4C"/>
    <w:rsid w:val="00EE3D59"/>
    <w:rsid w:val="00EE46DC"/>
    <w:rsid w:val="00EE499A"/>
    <w:rsid w:val="00EE5C7F"/>
    <w:rsid w:val="00EE6575"/>
    <w:rsid w:val="00EE68F7"/>
    <w:rsid w:val="00EE696C"/>
    <w:rsid w:val="00EE6BD0"/>
    <w:rsid w:val="00EE6E8E"/>
    <w:rsid w:val="00EE7EAC"/>
    <w:rsid w:val="00EF0966"/>
    <w:rsid w:val="00EF1DDE"/>
    <w:rsid w:val="00EF1DEF"/>
    <w:rsid w:val="00EF1E92"/>
    <w:rsid w:val="00EF2100"/>
    <w:rsid w:val="00EF401F"/>
    <w:rsid w:val="00EF5B15"/>
    <w:rsid w:val="00EF620F"/>
    <w:rsid w:val="00EF6B59"/>
    <w:rsid w:val="00EF6B7B"/>
    <w:rsid w:val="00EF743B"/>
    <w:rsid w:val="00EF7A2A"/>
    <w:rsid w:val="00EF7DE4"/>
    <w:rsid w:val="00F0007E"/>
    <w:rsid w:val="00F01323"/>
    <w:rsid w:val="00F01353"/>
    <w:rsid w:val="00F01383"/>
    <w:rsid w:val="00F01A99"/>
    <w:rsid w:val="00F01DBE"/>
    <w:rsid w:val="00F025CA"/>
    <w:rsid w:val="00F028C0"/>
    <w:rsid w:val="00F0441A"/>
    <w:rsid w:val="00F04D7F"/>
    <w:rsid w:val="00F05040"/>
    <w:rsid w:val="00F05536"/>
    <w:rsid w:val="00F055B6"/>
    <w:rsid w:val="00F05BFC"/>
    <w:rsid w:val="00F06F14"/>
    <w:rsid w:val="00F07535"/>
    <w:rsid w:val="00F102B4"/>
    <w:rsid w:val="00F10E7E"/>
    <w:rsid w:val="00F11BB5"/>
    <w:rsid w:val="00F11EC3"/>
    <w:rsid w:val="00F128DD"/>
    <w:rsid w:val="00F1417B"/>
    <w:rsid w:val="00F15120"/>
    <w:rsid w:val="00F1670F"/>
    <w:rsid w:val="00F16836"/>
    <w:rsid w:val="00F16C87"/>
    <w:rsid w:val="00F16F06"/>
    <w:rsid w:val="00F173CA"/>
    <w:rsid w:val="00F17832"/>
    <w:rsid w:val="00F203A6"/>
    <w:rsid w:val="00F203D0"/>
    <w:rsid w:val="00F206CE"/>
    <w:rsid w:val="00F20D70"/>
    <w:rsid w:val="00F21C9C"/>
    <w:rsid w:val="00F21DF9"/>
    <w:rsid w:val="00F22F24"/>
    <w:rsid w:val="00F23585"/>
    <w:rsid w:val="00F251E9"/>
    <w:rsid w:val="00F26D75"/>
    <w:rsid w:val="00F27FEF"/>
    <w:rsid w:val="00F30196"/>
    <w:rsid w:val="00F312CD"/>
    <w:rsid w:val="00F328B4"/>
    <w:rsid w:val="00F32DAE"/>
    <w:rsid w:val="00F33A60"/>
    <w:rsid w:val="00F3455D"/>
    <w:rsid w:val="00F34AB3"/>
    <w:rsid w:val="00F34B99"/>
    <w:rsid w:val="00F36213"/>
    <w:rsid w:val="00F366E5"/>
    <w:rsid w:val="00F3675F"/>
    <w:rsid w:val="00F36E62"/>
    <w:rsid w:val="00F37828"/>
    <w:rsid w:val="00F37CBA"/>
    <w:rsid w:val="00F40011"/>
    <w:rsid w:val="00F4124B"/>
    <w:rsid w:val="00F41F83"/>
    <w:rsid w:val="00F42715"/>
    <w:rsid w:val="00F43367"/>
    <w:rsid w:val="00F4345F"/>
    <w:rsid w:val="00F4426B"/>
    <w:rsid w:val="00F44620"/>
    <w:rsid w:val="00F45B81"/>
    <w:rsid w:val="00F4602D"/>
    <w:rsid w:val="00F507D3"/>
    <w:rsid w:val="00F50850"/>
    <w:rsid w:val="00F50FA6"/>
    <w:rsid w:val="00F51F76"/>
    <w:rsid w:val="00F52085"/>
    <w:rsid w:val="00F52DAB"/>
    <w:rsid w:val="00F52ECF"/>
    <w:rsid w:val="00F53E03"/>
    <w:rsid w:val="00F543F0"/>
    <w:rsid w:val="00F54435"/>
    <w:rsid w:val="00F554DD"/>
    <w:rsid w:val="00F56172"/>
    <w:rsid w:val="00F568DA"/>
    <w:rsid w:val="00F56AED"/>
    <w:rsid w:val="00F56BCD"/>
    <w:rsid w:val="00F576CF"/>
    <w:rsid w:val="00F6104F"/>
    <w:rsid w:val="00F617EA"/>
    <w:rsid w:val="00F620EC"/>
    <w:rsid w:val="00F62870"/>
    <w:rsid w:val="00F63836"/>
    <w:rsid w:val="00F640C8"/>
    <w:rsid w:val="00F6455E"/>
    <w:rsid w:val="00F6499E"/>
    <w:rsid w:val="00F66434"/>
    <w:rsid w:val="00F670CE"/>
    <w:rsid w:val="00F70EA3"/>
    <w:rsid w:val="00F7180D"/>
    <w:rsid w:val="00F71E7F"/>
    <w:rsid w:val="00F724B6"/>
    <w:rsid w:val="00F72531"/>
    <w:rsid w:val="00F72E2B"/>
    <w:rsid w:val="00F72F5B"/>
    <w:rsid w:val="00F73F4B"/>
    <w:rsid w:val="00F7402A"/>
    <w:rsid w:val="00F74289"/>
    <w:rsid w:val="00F7431F"/>
    <w:rsid w:val="00F7540B"/>
    <w:rsid w:val="00F76024"/>
    <w:rsid w:val="00F761BD"/>
    <w:rsid w:val="00F769D8"/>
    <w:rsid w:val="00F777EC"/>
    <w:rsid w:val="00F807F8"/>
    <w:rsid w:val="00F80B93"/>
    <w:rsid w:val="00F80D3A"/>
    <w:rsid w:val="00F81311"/>
    <w:rsid w:val="00F8194C"/>
    <w:rsid w:val="00F8198E"/>
    <w:rsid w:val="00F819EA"/>
    <w:rsid w:val="00F81D29"/>
    <w:rsid w:val="00F82F34"/>
    <w:rsid w:val="00F8362F"/>
    <w:rsid w:val="00F846AD"/>
    <w:rsid w:val="00F84DB6"/>
    <w:rsid w:val="00F8575F"/>
    <w:rsid w:val="00F85A53"/>
    <w:rsid w:val="00F85ABF"/>
    <w:rsid w:val="00F85BAB"/>
    <w:rsid w:val="00F8758B"/>
    <w:rsid w:val="00F87CC1"/>
    <w:rsid w:val="00F87E6C"/>
    <w:rsid w:val="00F901CC"/>
    <w:rsid w:val="00F906EB"/>
    <w:rsid w:val="00F90863"/>
    <w:rsid w:val="00F9133D"/>
    <w:rsid w:val="00F914C5"/>
    <w:rsid w:val="00F91C4D"/>
    <w:rsid w:val="00F92942"/>
    <w:rsid w:val="00F92FD9"/>
    <w:rsid w:val="00F964E4"/>
    <w:rsid w:val="00F967FF"/>
    <w:rsid w:val="00F97322"/>
    <w:rsid w:val="00F97D3F"/>
    <w:rsid w:val="00FA06AA"/>
    <w:rsid w:val="00FA0737"/>
    <w:rsid w:val="00FA2245"/>
    <w:rsid w:val="00FA2344"/>
    <w:rsid w:val="00FA26CA"/>
    <w:rsid w:val="00FA3205"/>
    <w:rsid w:val="00FA5AF2"/>
    <w:rsid w:val="00FA6684"/>
    <w:rsid w:val="00FA680B"/>
    <w:rsid w:val="00FA731E"/>
    <w:rsid w:val="00FA7A28"/>
    <w:rsid w:val="00FA7F7D"/>
    <w:rsid w:val="00FB1006"/>
    <w:rsid w:val="00FB13A8"/>
    <w:rsid w:val="00FB241C"/>
    <w:rsid w:val="00FB2B38"/>
    <w:rsid w:val="00FB2CF2"/>
    <w:rsid w:val="00FB3266"/>
    <w:rsid w:val="00FB34CA"/>
    <w:rsid w:val="00FB38D0"/>
    <w:rsid w:val="00FB4C71"/>
    <w:rsid w:val="00FB51CE"/>
    <w:rsid w:val="00FB5930"/>
    <w:rsid w:val="00FB5A3C"/>
    <w:rsid w:val="00FB65A5"/>
    <w:rsid w:val="00FB7E58"/>
    <w:rsid w:val="00FC05A7"/>
    <w:rsid w:val="00FC0780"/>
    <w:rsid w:val="00FC099B"/>
    <w:rsid w:val="00FC0FA6"/>
    <w:rsid w:val="00FC11F2"/>
    <w:rsid w:val="00FC1210"/>
    <w:rsid w:val="00FC2542"/>
    <w:rsid w:val="00FC2902"/>
    <w:rsid w:val="00FC2DCC"/>
    <w:rsid w:val="00FC3064"/>
    <w:rsid w:val="00FC332D"/>
    <w:rsid w:val="00FC3950"/>
    <w:rsid w:val="00FC48B5"/>
    <w:rsid w:val="00FC48CE"/>
    <w:rsid w:val="00FC4F13"/>
    <w:rsid w:val="00FC4F3F"/>
    <w:rsid w:val="00FC5054"/>
    <w:rsid w:val="00FC59CD"/>
    <w:rsid w:val="00FC60CD"/>
    <w:rsid w:val="00FC6191"/>
    <w:rsid w:val="00FC6358"/>
    <w:rsid w:val="00FC67A2"/>
    <w:rsid w:val="00FC73D7"/>
    <w:rsid w:val="00FC7F6F"/>
    <w:rsid w:val="00FD0331"/>
    <w:rsid w:val="00FD0C49"/>
    <w:rsid w:val="00FD1CC1"/>
    <w:rsid w:val="00FD24CD"/>
    <w:rsid w:val="00FD31E6"/>
    <w:rsid w:val="00FD320D"/>
    <w:rsid w:val="00FD390B"/>
    <w:rsid w:val="00FD52CF"/>
    <w:rsid w:val="00FD55B1"/>
    <w:rsid w:val="00FD6390"/>
    <w:rsid w:val="00FD642D"/>
    <w:rsid w:val="00FD7356"/>
    <w:rsid w:val="00FE016D"/>
    <w:rsid w:val="00FE02BC"/>
    <w:rsid w:val="00FE0653"/>
    <w:rsid w:val="00FE1A8A"/>
    <w:rsid w:val="00FE23DE"/>
    <w:rsid w:val="00FE2DC8"/>
    <w:rsid w:val="00FE57F0"/>
    <w:rsid w:val="00FE6A2D"/>
    <w:rsid w:val="00FE718C"/>
    <w:rsid w:val="00FE7AAD"/>
    <w:rsid w:val="00FF00B8"/>
    <w:rsid w:val="00FF3A31"/>
    <w:rsid w:val="00FF3C30"/>
    <w:rsid w:val="00FF4360"/>
    <w:rsid w:val="00FF4AD0"/>
    <w:rsid w:val="00FF4C65"/>
    <w:rsid w:val="00FF5D84"/>
    <w:rsid w:val="00FF6ACE"/>
    <w:rsid w:val="00FF7971"/>
    <w:rsid w:val="0A4D5343"/>
    <w:rsid w:val="119562E5"/>
    <w:rsid w:val="1C5B7B38"/>
    <w:rsid w:val="1F442824"/>
    <w:rsid w:val="39544BD9"/>
    <w:rsid w:val="485C5D14"/>
    <w:rsid w:val="4F867008"/>
    <w:rsid w:val="54153C22"/>
    <w:rsid w:val="55C5361E"/>
    <w:rsid w:val="55EA09A6"/>
    <w:rsid w:val="657C2BEB"/>
    <w:rsid w:val="6F2A7E94"/>
    <w:rsid w:val="7F9D82F1"/>
    <w:rsid w:val="EDF54C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9"/>
    <w:qFormat/>
    <w:uiPriority w:val="0"/>
    <w:pPr>
      <w:keepNext/>
      <w:keepLines/>
      <w:spacing w:before="340" w:after="330" w:line="578" w:lineRule="auto"/>
      <w:outlineLvl w:val="0"/>
    </w:pPr>
    <w:rPr>
      <w:b/>
      <w:bCs/>
      <w:kern w:val="44"/>
      <w:sz w:val="44"/>
      <w:szCs w:val="44"/>
    </w:rPr>
  </w:style>
  <w:style w:type="character" w:default="1" w:styleId="35">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qFormat/>
    <w:uiPriority w:val="39"/>
    <w:pPr>
      <w:tabs>
        <w:tab w:val="right" w:leader="dot" w:pos="9241"/>
      </w:tabs>
      <w:ind w:firstLine="500"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annotation text"/>
    <w:basedOn w:val="1"/>
    <w:link w:val="142"/>
    <w:qFormat/>
    <w:uiPriority w:val="99"/>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index 4"/>
    <w:basedOn w:val="1"/>
    <w:next w:val="1"/>
    <w:qFormat/>
    <w:uiPriority w:val="0"/>
    <w:pPr>
      <w:ind w:left="840" w:hanging="210"/>
      <w:jc w:val="left"/>
    </w:pPr>
    <w:rPr>
      <w:rFonts w:ascii="Calibri" w:hAnsi="Calibri"/>
      <w:sz w:val="20"/>
      <w:szCs w:val="20"/>
    </w:rPr>
  </w:style>
  <w:style w:type="paragraph" w:styleId="11">
    <w:name w:val="toc 5"/>
    <w:basedOn w:val="1"/>
    <w:next w:val="1"/>
    <w:qFormat/>
    <w:uiPriority w:val="39"/>
    <w:pPr>
      <w:tabs>
        <w:tab w:val="right" w:leader="dot" w:pos="9241"/>
      </w:tabs>
      <w:ind w:firstLine="300" w:firstLineChars="300"/>
      <w:jc w:val="left"/>
    </w:pPr>
    <w:rPr>
      <w:rFonts w:ascii="宋体"/>
      <w:szCs w:val="21"/>
    </w:rPr>
  </w:style>
  <w:style w:type="paragraph" w:styleId="12">
    <w:name w:val="toc 3"/>
    <w:basedOn w:val="1"/>
    <w:next w:val="1"/>
    <w:qFormat/>
    <w:uiPriority w:val="39"/>
    <w:pPr>
      <w:tabs>
        <w:tab w:val="right" w:leader="dot" w:pos="9241"/>
      </w:tabs>
      <w:ind w:firstLine="100" w:firstLineChars="100"/>
      <w:jc w:val="left"/>
    </w:pPr>
    <w:rPr>
      <w:rFonts w:ascii="宋体"/>
      <w:szCs w:val="21"/>
    </w:rPr>
  </w:style>
  <w:style w:type="paragraph" w:styleId="13">
    <w:name w:val="toc 8"/>
    <w:basedOn w:val="1"/>
    <w:next w:val="1"/>
    <w:qFormat/>
    <w:uiPriority w:val="39"/>
    <w:pPr>
      <w:tabs>
        <w:tab w:val="right" w:leader="dot" w:pos="9241"/>
      </w:tabs>
      <w:ind w:firstLine="607" w:firstLineChars="600"/>
      <w:jc w:val="left"/>
    </w:pPr>
    <w:rPr>
      <w:rFonts w:ascii="宋体"/>
      <w:szCs w:val="21"/>
    </w:rPr>
  </w:style>
  <w:style w:type="paragraph" w:styleId="14">
    <w:name w:val="index 3"/>
    <w:basedOn w:val="1"/>
    <w:next w:val="1"/>
    <w:qFormat/>
    <w:uiPriority w:val="0"/>
    <w:pPr>
      <w:ind w:left="630" w:hanging="210"/>
      <w:jc w:val="left"/>
    </w:pPr>
    <w:rPr>
      <w:rFonts w:ascii="Calibri" w:hAnsi="Calibri"/>
      <w:sz w:val="20"/>
      <w:szCs w:val="20"/>
    </w:rPr>
  </w:style>
  <w:style w:type="paragraph" w:styleId="15">
    <w:name w:val="endnote text"/>
    <w:basedOn w:val="1"/>
    <w:semiHidden/>
    <w:qFormat/>
    <w:uiPriority w:val="0"/>
    <w:pPr>
      <w:snapToGrid w:val="0"/>
      <w:jc w:val="left"/>
    </w:pPr>
  </w:style>
  <w:style w:type="paragraph" w:styleId="16">
    <w:name w:val="Balloon Text"/>
    <w:basedOn w:val="1"/>
    <w:link w:val="141"/>
    <w:qFormat/>
    <w:uiPriority w:val="0"/>
    <w:rPr>
      <w:sz w:val="18"/>
      <w:szCs w:val="18"/>
    </w:rPr>
  </w:style>
  <w:style w:type="paragraph" w:styleId="17">
    <w:name w:val="footer"/>
    <w:basedOn w:val="1"/>
    <w:qFormat/>
    <w:uiPriority w:val="0"/>
    <w:pPr>
      <w:snapToGrid w:val="0"/>
      <w:ind w:right="210" w:rightChars="100"/>
      <w:jc w:val="right"/>
    </w:pPr>
    <w:rPr>
      <w:sz w:val="18"/>
      <w:szCs w:val="18"/>
    </w:rPr>
  </w:style>
  <w:style w:type="paragraph" w:styleId="18">
    <w:name w:val="header"/>
    <w:basedOn w:val="1"/>
    <w:qFormat/>
    <w:uiPriority w:val="0"/>
    <w:pPr>
      <w:snapToGrid w:val="0"/>
      <w:jc w:val="left"/>
    </w:pPr>
    <w:rPr>
      <w:sz w:val="18"/>
      <w:szCs w:val="18"/>
    </w:rPr>
  </w:style>
  <w:style w:type="paragraph" w:styleId="19">
    <w:name w:val="toc 1"/>
    <w:basedOn w:val="1"/>
    <w:next w:val="1"/>
    <w:qFormat/>
    <w:uiPriority w:val="39"/>
    <w:pPr>
      <w:tabs>
        <w:tab w:val="right" w:leader="dot" w:pos="9242"/>
      </w:tabs>
      <w:spacing w:beforeLines="25" w:afterLines="25"/>
      <w:jc w:val="left"/>
    </w:pPr>
    <w:rPr>
      <w:rFonts w:ascii="宋体"/>
      <w:szCs w:val="21"/>
    </w:rPr>
  </w:style>
  <w:style w:type="paragraph" w:styleId="20">
    <w:name w:val="toc 4"/>
    <w:basedOn w:val="1"/>
    <w:next w:val="1"/>
    <w:qFormat/>
    <w:uiPriority w:val="39"/>
    <w:pPr>
      <w:tabs>
        <w:tab w:val="right" w:leader="dot" w:pos="9241"/>
      </w:tabs>
      <w:ind w:firstLine="200" w:firstLineChars="200"/>
      <w:jc w:val="left"/>
    </w:pPr>
    <w:rPr>
      <w:rFonts w:ascii="宋体"/>
      <w:szCs w:val="21"/>
    </w:rPr>
  </w:style>
  <w:style w:type="paragraph" w:styleId="21">
    <w:name w:val="index heading"/>
    <w:basedOn w:val="1"/>
    <w:next w:val="22"/>
    <w:qFormat/>
    <w:uiPriority w:val="0"/>
    <w:pPr>
      <w:spacing w:before="120" w:after="120"/>
      <w:jc w:val="center"/>
    </w:pPr>
    <w:rPr>
      <w:rFonts w:ascii="Calibri" w:hAnsi="Calibri"/>
      <w:b/>
      <w:bCs/>
      <w:iCs/>
      <w:szCs w:val="20"/>
    </w:rPr>
  </w:style>
  <w:style w:type="paragraph" w:styleId="22">
    <w:name w:val="index 1"/>
    <w:basedOn w:val="1"/>
    <w:next w:val="23"/>
    <w:qFormat/>
    <w:uiPriority w:val="0"/>
    <w:pPr>
      <w:tabs>
        <w:tab w:val="right" w:leader="dot" w:pos="9299"/>
      </w:tabs>
      <w:jc w:val="left"/>
    </w:pPr>
    <w:rPr>
      <w:rFonts w:ascii="宋体"/>
      <w:szCs w:val="21"/>
    </w:rPr>
  </w:style>
  <w:style w:type="paragraph" w:customStyle="1" w:styleId="23">
    <w:name w:val="段"/>
    <w:link w:val="4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4">
    <w:name w:val="footnote text"/>
    <w:basedOn w:val="1"/>
    <w:qFormat/>
    <w:uiPriority w:val="0"/>
    <w:pPr>
      <w:numPr>
        <w:ilvl w:val="0"/>
        <w:numId w:val="1"/>
      </w:numPr>
      <w:snapToGrid w:val="0"/>
      <w:jc w:val="left"/>
    </w:pPr>
    <w:rPr>
      <w:rFonts w:ascii="宋体"/>
      <w:sz w:val="18"/>
      <w:szCs w:val="18"/>
    </w:rPr>
  </w:style>
  <w:style w:type="paragraph" w:styleId="25">
    <w:name w:val="toc 6"/>
    <w:basedOn w:val="1"/>
    <w:next w:val="1"/>
    <w:qFormat/>
    <w:uiPriority w:val="39"/>
    <w:pPr>
      <w:tabs>
        <w:tab w:val="right" w:leader="dot" w:pos="9241"/>
      </w:tabs>
      <w:ind w:firstLine="400" w:firstLineChars="400"/>
      <w:jc w:val="left"/>
    </w:pPr>
    <w:rPr>
      <w:rFonts w:ascii="宋体"/>
      <w:szCs w:val="21"/>
    </w:rPr>
  </w:style>
  <w:style w:type="paragraph" w:styleId="26">
    <w:name w:val="index 7"/>
    <w:basedOn w:val="1"/>
    <w:next w:val="1"/>
    <w:qFormat/>
    <w:uiPriority w:val="0"/>
    <w:pPr>
      <w:ind w:left="1470" w:hanging="210"/>
      <w:jc w:val="left"/>
    </w:pPr>
    <w:rPr>
      <w:rFonts w:ascii="Calibri" w:hAnsi="Calibri"/>
      <w:sz w:val="20"/>
      <w:szCs w:val="20"/>
    </w:rPr>
  </w:style>
  <w:style w:type="paragraph" w:styleId="27">
    <w:name w:val="index 9"/>
    <w:basedOn w:val="1"/>
    <w:next w:val="1"/>
    <w:qFormat/>
    <w:uiPriority w:val="0"/>
    <w:pPr>
      <w:ind w:left="1890" w:hanging="210"/>
      <w:jc w:val="left"/>
    </w:pPr>
    <w:rPr>
      <w:rFonts w:ascii="Calibri" w:hAnsi="Calibri"/>
      <w:sz w:val="20"/>
      <w:szCs w:val="20"/>
    </w:rPr>
  </w:style>
  <w:style w:type="paragraph" w:styleId="28">
    <w:name w:val="toc 2"/>
    <w:basedOn w:val="1"/>
    <w:next w:val="1"/>
    <w:qFormat/>
    <w:uiPriority w:val="39"/>
    <w:pPr>
      <w:tabs>
        <w:tab w:val="right" w:leader="dot" w:pos="9242"/>
      </w:tabs>
    </w:pPr>
    <w:rPr>
      <w:rFonts w:ascii="宋体"/>
      <w:szCs w:val="21"/>
    </w:rPr>
  </w:style>
  <w:style w:type="paragraph" w:styleId="29">
    <w:name w:val="toc 9"/>
    <w:basedOn w:val="1"/>
    <w:next w:val="1"/>
    <w:qFormat/>
    <w:uiPriority w:val="39"/>
    <w:pPr>
      <w:ind w:left="1470"/>
      <w:jc w:val="left"/>
    </w:pPr>
    <w:rPr>
      <w:sz w:val="20"/>
      <w:szCs w:val="20"/>
    </w:rPr>
  </w:style>
  <w:style w:type="paragraph" w:styleId="30">
    <w:name w:val="Normal (Web)"/>
    <w:basedOn w:val="1"/>
    <w:qFormat/>
    <w:uiPriority w:val="99"/>
    <w:pPr>
      <w:widowControl/>
      <w:suppressAutoHyphens/>
      <w:spacing w:line="240" w:lineRule="atLeast"/>
      <w:jc w:val="left"/>
    </w:pPr>
    <w:rPr>
      <w:rFonts w:eastAsia="MS Mincho"/>
      <w:kern w:val="0"/>
      <w:sz w:val="24"/>
      <w:lang w:val="en-GB" w:eastAsia="en-US"/>
    </w:rPr>
  </w:style>
  <w:style w:type="paragraph" w:styleId="31">
    <w:name w:val="index 2"/>
    <w:basedOn w:val="1"/>
    <w:next w:val="1"/>
    <w:qFormat/>
    <w:uiPriority w:val="0"/>
    <w:pPr>
      <w:ind w:left="420" w:hanging="210"/>
      <w:jc w:val="left"/>
    </w:pPr>
    <w:rPr>
      <w:rFonts w:ascii="Calibri" w:hAnsi="Calibri"/>
      <w:sz w:val="20"/>
      <w:szCs w:val="20"/>
    </w:rPr>
  </w:style>
  <w:style w:type="paragraph" w:styleId="32">
    <w:name w:val="annotation subject"/>
    <w:basedOn w:val="8"/>
    <w:next w:val="8"/>
    <w:link w:val="143"/>
    <w:qFormat/>
    <w:uiPriority w:val="0"/>
    <w:rPr>
      <w:b/>
      <w:bCs/>
    </w:rPr>
  </w:style>
  <w:style w:type="table" w:styleId="34">
    <w:name w:val="Table Grid"/>
    <w:basedOn w:val="33"/>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endnote reference"/>
    <w:semiHidden/>
    <w:qFormat/>
    <w:uiPriority w:val="0"/>
    <w:rPr>
      <w:vertAlign w:val="superscript"/>
    </w:rPr>
  </w:style>
  <w:style w:type="character" w:styleId="37">
    <w:name w:val="page number"/>
    <w:qFormat/>
    <w:uiPriority w:val="0"/>
    <w:rPr>
      <w:rFonts w:ascii="Times New Roman" w:hAnsi="Times New Roman" w:eastAsia="宋体"/>
      <w:sz w:val="18"/>
    </w:rPr>
  </w:style>
  <w:style w:type="character" w:styleId="38">
    <w:name w:val="Hyperlink"/>
    <w:qFormat/>
    <w:uiPriority w:val="99"/>
    <w:rPr>
      <w:color w:val="0000FF"/>
      <w:spacing w:val="0"/>
      <w:w w:val="100"/>
      <w:szCs w:val="21"/>
      <w:u w:val="single"/>
    </w:rPr>
  </w:style>
  <w:style w:type="character" w:styleId="39">
    <w:name w:val="annotation reference"/>
    <w:basedOn w:val="35"/>
    <w:qFormat/>
    <w:uiPriority w:val="99"/>
    <w:rPr>
      <w:sz w:val="21"/>
      <w:szCs w:val="21"/>
    </w:rPr>
  </w:style>
  <w:style w:type="character" w:styleId="40">
    <w:name w:val="footnote reference"/>
    <w:semiHidden/>
    <w:qFormat/>
    <w:uiPriority w:val="0"/>
    <w:rPr>
      <w:vertAlign w:val="superscript"/>
    </w:rPr>
  </w:style>
  <w:style w:type="character" w:customStyle="1" w:styleId="41">
    <w:name w:val="段 Char"/>
    <w:link w:val="23"/>
    <w:qFormat/>
    <w:uiPriority w:val="0"/>
    <w:rPr>
      <w:rFonts w:ascii="宋体"/>
      <w:sz w:val="21"/>
      <w:lang w:val="en-US" w:eastAsia="zh-CN" w:bidi="ar-SA"/>
    </w:rPr>
  </w:style>
  <w:style w:type="paragraph" w:customStyle="1" w:styleId="42">
    <w:name w:val="一级条标题"/>
    <w:next w:val="23"/>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4">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5">
    <w:name w:val="章标题"/>
    <w:next w:val="23"/>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6">
    <w:name w:val="二级条标题"/>
    <w:basedOn w:val="42"/>
    <w:next w:val="23"/>
    <w:qFormat/>
    <w:uiPriority w:val="0"/>
    <w:pPr>
      <w:numPr>
        <w:ilvl w:val="2"/>
      </w:numPr>
      <w:spacing w:before="50" w:after="50"/>
      <w:outlineLvl w:val="3"/>
    </w:pPr>
  </w:style>
  <w:style w:type="paragraph" w:customStyle="1" w:styleId="47">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8">
    <w:name w:val="列项——（一级）"/>
    <w:qFormat/>
    <w:uiPriority w:val="0"/>
    <w:pPr>
      <w:widowControl w:val="0"/>
      <w:jc w:val="both"/>
    </w:pPr>
    <w:rPr>
      <w:rFonts w:ascii="宋体" w:hAnsi="Times New Roman" w:eastAsia="宋体" w:cs="Times New Roman"/>
      <w:sz w:val="21"/>
      <w:lang w:val="en-US" w:eastAsia="zh-CN" w:bidi="ar-SA"/>
    </w:rPr>
  </w:style>
  <w:style w:type="paragraph" w:customStyle="1" w:styleId="49">
    <w:name w:val="列项●（二级）"/>
    <w:qFormat/>
    <w:uiPriority w:val="0"/>
    <w:pPr>
      <w:tabs>
        <w:tab w:val="left" w:pos="840"/>
      </w:tabs>
      <w:jc w:val="both"/>
    </w:pPr>
    <w:rPr>
      <w:rFonts w:ascii="宋体" w:hAnsi="Times New Roman" w:eastAsia="宋体" w:cs="Times New Roman"/>
      <w:sz w:val="21"/>
      <w:lang w:val="en-US" w:eastAsia="zh-CN" w:bidi="ar-SA"/>
    </w:rPr>
  </w:style>
  <w:style w:type="paragraph" w:customStyle="1" w:styleId="50">
    <w:name w:val="目次、标准名称标题"/>
    <w:basedOn w:val="1"/>
    <w:next w:val="2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1">
    <w:name w:val="三级条标题"/>
    <w:basedOn w:val="46"/>
    <w:next w:val="23"/>
    <w:qFormat/>
    <w:uiPriority w:val="0"/>
    <w:pPr>
      <w:numPr>
        <w:ilvl w:val="3"/>
      </w:numPr>
      <w:outlineLvl w:val="4"/>
    </w:pPr>
  </w:style>
  <w:style w:type="paragraph" w:customStyle="1" w:styleId="52">
    <w:name w:val="示例"/>
    <w:next w:val="53"/>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53">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4">
    <w:name w:val="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55">
    <w:name w:val="四级条标题"/>
    <w:basedOn w:val="51"/>
    <w:next w:val="23"/>
    <w:qFormat/>
    <w:uiPriority w:val="0"/>
    <w:pPr>
      <w:numPr>
        <w:ilvl w:val="4"/>
      </w:numPr>
      <w:ind w:left="0"/>
      <w:outlineLvl w:val="5"/>
    </w:pPr>
  </w:style>
  <w:style w:type="paragraph" w:customStyle="1" w:styleId="56">
    <w:name w:val="五级条标题"/>
    <w:basedOn w:val="55"/>
    <w:next w:val="23"/>
    <w:qFormat/>
    <w:uiPriority w:val="0"/>
    <w:pPr>
      <w:numPr>
        <w:ilvl w:val="5"/>
      </w:numPr>
      <w:outlineLvl w:val="6"/>
    </w:pPr>
  </w:style>
  <w:style w:type="paragraph" w:customStyle="1" w:styleId="57">
    <w:name w:val="注："/>
    <w:next w:val="23"/>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58">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59">
    <w:name w:val="字母编号列项（一级）"/>
    <w:qFormat/>
    <w:uiPriority w:val="0"/>
    <w:rPr>
      <w:rFonts w:ascii="宋体" w:hAnsi="Times New Roman" w:eastAsia="宋体" w:cs="Times New Roman"/>
      <w:sz w:val="21"/>
      <w:lang w:val="en-US" w:eastAsia="zh-CN" w:bidi="ar-SA"/>
    </w:rPr>
  </w:style>
  <w:style w:type="paragraph" w:customStyle="1" w:styleId="60">
    <w:name w:val="列项◆（三级）"/>
    <w:basedOn w:val="1"/>
    <w:qFormat/>
    <w:uiPriority w:val="0"/>
    <w:rPr>
      <w:rFonts w:ascii="宋体"/>
      <w:szCs w:val="21"/>
    </w:rPr>
  </w:style>
  <w:style w:type="paragraph" w:customStyle="1" w:styleId="61">
    <w:name w:val="编号列项（三级）"/>
    <w:qFormat/>
    <w:uiPriority w:val="0"/>
    <w:rPr>
      <w:rFonts w:ascii="宋体" w:hAnsi="Times New Roman" w:eastAsia="宋体" w:cs="Times New Roman"/>
      <w:sz w:val="21"/>
      <w:lang w:val="en-US" w:eastAsia="zh-CN" w:bidi="ar-SA"/>
    </w:rPr>
  </w:style>
  <w:style w:type="paragraph" w:customStyle="1" w:styleId="62">
    <w:name w:val="示例×："/>
    <w:basedOn w:val="45"/>
    <w:qFormat/>
    <w:uiPriority w:val="0"/>
    <w:pPr>
      <w:numPr>
        <w:numId w:val="4"/>
      </w:numPr>
      <w:spacing w:beforeLines="0" w:afterLines="0"/>
      <w:outlineLvl w:val="9"/>
    </w:pPr>
    <w:rPr>
      <w:rFonts w:ascii="宋体" w:eastAsia="宋体"/>
      <w:sz w:val="18"/>
      <w:szCs w:val="18"/>
    </w:rPr>
  </w:style>
  <w:style w:type="paragraph" w:customStyle="1" w:styleId="63">
    <w:name w:val="二级无"/>
    <w:basedOn w:val="46"/>
    <w:qFormat/>
    <w:uiPriority w:val="0"/>
    <w:pPr>
      <w:spacing w:beforeLines="0" w:afterLines="0"/>
    </w:pPr>
    <w:rPr>
      <w:rFonts w:ascii="宋体" w:eastAsia="宋体"/>
    </w:rPr>
  </w:style>
  <w:style w:type="paragraph" w:customStyle="1" w:styleId="64">
    <w:name w:val="注：（正文）"/>
    <w:basedOn w:val="57"/>
    <w:next w:val="23"/>
    <w:qFormat/>
    <w:uiPriority w:val="0"/>
  </w:style>
  <w:style w:type="paragraph" w:customStyle="1" w:styleId="65">
    <w:name w:val="注×：（正文）"/>
    <w:qFormat/>
    <w:uiPriority w:val="0"/>
    <w:pPr>
      <w:numPr>
        <w:ilvl w:val="0"/>
        <w:numId w:val="5"/>
      </w:numPr>
      <w:jc w:val="both"/>
    </w:pPr>
    <w:rPr>
      <w:rFonts w:ascii="宋体" w:hAnsi="Times New Roman" w:eastAsia="宋体" w:cs="Times New Roman"/>
      <w:sz w:val="18"/>
      <w:szCs w:val="18"/>
      <w:lang w:val="en-US" w:eastAsia="zh-CN" w:bidi="ar-SA"/>
    </w:rPr>
  </w:style>
  <w:style w:type="paragraph" w:customStyle="1" w:styleId="6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7">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9">
    <w:name w:val="标准书眉_偶数页"/>
    <w:basedOn w:val="44"/>
    <w:next w:val="1"/>
    <w:qFormat/>
    <w:uiPriority w:val="0"/>
    <w:pPr>
      <w:jc w:val="left"/>
    </w:pPr>
  </w:style>
  <w:style w:type="paragraph" w:customStyle="1" w:styleId="70">
    <w:name w:val="标准书眉一"/>
    <w:qFormat/>
    <w:uiPriority w:val="0"/>
    <w:pPr>
      <w:jc w:val="both"/>
    </w:pPr>
    <w:rPr>
      <w:rFonts w:ascii="Times New Roman" w:hAnsi="Times New Roman" w:eastAsia="宋体" w:cs="Times New Roman"/>
      <w:lang w:val="en-US" w:eastAsia="zh-CN" w:bidi="ar-SA"/>
    </w:rPr>
  </w:style>
  <w:style w:type="paragraph" w:customStyle="1" w:styleId="71">
    <w:name w:val="参考文献"/>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2">
    <w:name w:val="参考文献、索引标题"/>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3">
    <w:name w:val="发布"/>
    <w:qFormat/>
    <w:uiPriority w:val="0"/>
    <w:rPr>
      <w:rFonts w:ascii="黑体" w:eastAsia="黑体"/>
      <w:spacing w:val="85"/>
      <w:w w:val="100"/>
      <w:position w:val="3"/>
      <w:sz w:val="28"/>
      <w:szCs w:val="28"/>
    </w:rPr>
  </w:style>
  <w:style w:type="paragraph" w:customStyle="1" w:styleId="74">
    <w:name w:val="发布部门"/>
    <w:next w:val="2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5">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9">
    <w:name w:val="封面标准英文名称"/>
    <w:basedOn w:val="78"/>
    <w:qFormat/>
    <w:uiPriority w:val="0"/>
    <w:pPr>
      <w:framePr w:wrap="around"/>
      <w:spacing w:before="370" w:line="400" w:lineRule="exact"/>
    </w:pPr>
    <w:rPr>
      <w:rFonts w:ascii="Times New Roman"/>
      <w:sz w:val="28"/>
      <w:szCs w:val="28"/>
    </w:rPr>
  </w:style>
  <w:style w:type="paragraph" w:customStyle="1" w:styleId="80">
    <w:name w:val="封面一致性程度标识"/>
    <w:basedOn w:val="79"/>
    <w:qFormat/>
    <w:uiPriority w:val="0"/>
    <w:pPr>
      <w:framePr w:wrap="around"/>
      <w:spacing w:before="440"/>
    </w:pPr>
    <w:rPr>
      <w:rFonts w:ascii="宋体" w:eastAsia="宋体"/>
    </w:rPr>
  </w:style>
  <w:style w:type="paragraph" w:customStyle="1" w:styleId="81">
    <w:name w:val="封面标准文稿类别"/>
    <w:basedOn w:val="80"/>
    <w:qFormat/>
    <w:uiPriority w:val="0"/>
    <w:pPr>
      <w:framePr w:wrap="around"/>
      <w:spacing w:after="160" w:line="240" w:lineRule="auto"/>
    </w:pPr>
    <w:rPr>
      <w:sz w:val="24"/>
    </w:rPr>
  </w:style>
  <w:style w:type="paragraph" w:customStyle="1" w:styleId="82">
    <w:name w:val="封面标准文稿编辑信息"/>
    <w:basedOn w:val="81"/>
    <w:qFormat/>
    <w:uiPriority w:val="0"/>
    <w:pPr>
      <w:framePr w:wrap="around"/>
      <w:spacing w:before="180" w:line="180" w:lineRule="exact"/>
    </w:pPr>
    <w:rPr>
      <w:sz w:val="21"/>
    </w:rPr>
  </w:style>
  <w:style w:type="paragraph" w:customStyle="1" w:styleId="83">
    <w:name w:val="封面正文"/>
    <w:qFormat/>
    <w:uiPriority w:val="0"/>
    <w:pPr>
      <w:jc w:val="both"/>
    </w:pPr>
    <w:rPr>
      <w:rFonts w:ascii="Times New Roman" w:hAnsi="Times New Roman" w:eastAsia="宋体" w:cs="Times New Roman"/>
      <w:lang w:val="en-US" w:eastAsia="zh-CN" w:bidi="ar-SA"/>
    </w:rPr>
  </w:style>
  <w:style w:type="paragraph" w:customStyle="1" w:styleId="84">
    <w:name w:val="附录标识"/>
    <w:basedOn w:val="1"/>
    <w:next w:val="23"/>
    <w:qFormat/>
    <w:uiPriority w:val="0"/>
    <w:pPr>
      <w:keepNext/>
      <w:widowControl/>
      <w:numPr>
        <w:ilvl w:val="0"/>
        <w:numId w:val="6"/>
      </w:numPr>
      <w:shd w:val="clear" w:color="FFFFFF" w:fill="FFFFFF"/>
      <w:tabs>
        <w:tab w:val="left" w:pos="6405"/>
      </w:tabs>
      <w:spacing w:before="640" w:after="280"/>
      <w:jc w:val="center"/>
      <w:outlineLvl w:val="0"/>
    </w:pPr>
    <w:rPr>
      <w:rFonts w:ascii="黑体" w:eastAsia="黑体"/>
      <w:kern w:val="0"/>
      <w:szCs w:val="20"/>
    </w:rPr>
  </w:style>
  <w:style w:type="paragraph" w:customStyle="1" w:styleId="85">
    <w:name w:val="附录标题"/>
    <w:basedOn w:val="23"/>
    <w:next w:val="23"/>
    <w:qFormat/>
    <w:uiPriority w:val="0"/>
    <w:pPr>
      <w:ind w:firstLine="0" w:firstLineChars="0"/>
      <w:jc w:val="center"/>
    </w:pPr>
    <w:rPr>
      <w:rFonts w:ascii="黑体" w:eastAsia="黑体"/>
    </w:rPr>
  </w:style>
  <w:style w:type="paragraph" w:customStyle="1" w:styleId="86">
    <w:name w:val="附录表标号"/>
    <w:basedOn w:val="1"/>
    <w:next w:val="23"/>
    <w:qFormat/>
    <w:uiPriority w:val="0"/>
    <w:pPr>
      <w:numPr>
        <w:ilvl w:val="0"/>
        <w:numId w:val="7"/>
      </w:numPr>
      <w:tabs>
        <w:tab w:val="clear" w:pos="0"/>
      </w:tabs>
      <w:spacing w:line="14" w:lineRule="exact"/>
      <w:ind w:left="811" w:hanging="448"/>
      <w:jc w:val="center"/>
      <w:outlineLvl w:val="0"/>
    </w:pPr>
    <w:rPr>
      <w:color w:val="FFFFFF"/>
    </w:rPr>
  </w:style>
  <w:style w:type="paragraph" w:customStyle="1" w:styleId="87">
    <w:name w:val="附录表标题"/>
    <w:basedOn w:val="1"/>
    <w:next w:val="23"/>
    <w:qFormat/>
    <w:uiPriority w:val="0"/>
    <w:pPr>
      <w:numPr>
        <w:ilvl w:val="1"/>
        <w:numId w:val="7"/>
      </w:numPr>
      <w:tabs>
        <w:tab w:val="left" w:pos="180"/>
      </w:tabs>
      <w:spacing w:beforeLines="50" w:afterLines="50"/>
      <w:ind w:left="0" w:firstLine="0"/>
      <w:jc w:val="center"/>
    </w:pPr>
    <w:rPr>
      <w:rFonts w:ascii="黑体" w:eastAsia="黑体"/>
      <w:szCs w:val="21"/>
    </w:rPr>
  </w:style>
  <w:style w:type="paragraph" w:customStyle="1" w:styleId="88">
    <w:name w:val="附录二级条标题"/>
    <w:basedOn w:val="1"/>
    <w:next w:val="23"/>
    <w:qFormat/>
    <w:uiPriority w:val="0"/>
    <w:pPr>
      <w:widowControl/>
      <w:numPr>
        <w:ilvl w:val="3"/>
        <w:numId w:val="6"/>
      </w:numPr>
      <w:wordWrap w:val="0"/>
      <w:overflowPunct w:val="0"/>
      <w:autoSpaceDE w:val="0"/>
      <w:autoSpaceDN w:val="0"/>
      <w:spacing w:beforeLines="50" w:afterLines="50"/>
      <w:ind w:left="0"/>
      <w:textAlignment w:val="baseline"/>
      <w:outlineLvl w:val="3"/>
    </w:pPr>
    <w:rPr>
      <w:rFonts w:ascii="黑体" w:eastAsia="黑体"/>
      <w:kern w:val="21"/>
      <w:szCs w:val="20"/>
    </w:rPr>
  </w:style>
  <w:style w:type="paragraph" w:customStyle="1" w:styleId="89">
    <w:name w:val="附录二级无"/>
    <w:basedOn w:val="88"/>
    <w:qFormat/>
    <w:uiPriority w:val="0"/>
    <w:pPr>
      <w:spacing w:beforeLines="0" w:afterLines="0"/>
    </w:pPr>
    <w:rPr>
      <w:rFonts w:ascii="宋体" w:eastAsia="宋体"/>
      <w:szCs w:val="21"/>
    </w:rPr>
  </w:style>
  <w:style w:type="paragraph" w:customStyle="1" w:styleId="90">
    <w:name w:val="附录公式"/>
    <w:basedOn w:val="23"/>
    <w:next w:val="23"/>
    <w:link w:val="91"/>
    <w:qFormat/>
    <w:uiPriority w:val="0"/>
  </w:style>
  <w:style w:type="character" w:customStyle="1" w:styleId="91">
    <w:name w:val="附录公式 Char"/>
    <w:basedOn w:val="41"/>
    <w:link w:val="90"/>
    <w:qFormat/>
    <w:uiPriority w:val="0"/>
    <w:rPr>
      <w:rFonts w:ascii="宋体"/>
      <w:sz w:val="21"/>
      <w:lang w:val="en-US" w:eastAsia="zh-CN" w:bidi="ar-SA"/>
    </w:rPr>
  </w:style>
  <w:style w:type="paragraph" w:customStyle="1" w:styleId="92">
    <w:name w:val="附录公式编号制表符"/>
    <w:basedOn w:val="1"/>
    <w:next w:val="23"/>
    <w:qFormat/>
    <w:uiPriority w:val="0"/>
    <w:pPr>
      <w:widowControl/>
      <w:tabs>
        <w:tab w:val="center" w:pos="4201"/>
        <w:tab w:val="right" w:leader="dot" w:pos="9298"/>
      </w:tabs>
      <w:autoSpaceDE w:val="0"/>
      <w:autoSpaceDN w:val="0"/>
    </w:pPr>
    <w:rPr>
      <w:rFonts w:ascii="宋体"/>
      <w:kern w:val="0"/>
      <w:szCs w:val="20"/>
    </w:rPr>
  </w:style>
  <w:style w:type="paragraph" w:customStyle="1" w:styleId="93">
    <w:name w:val="附录三级条标题"/>
    <w:basedOn w:val="88"/>
    <w:next w:val="23"/>
    <w:qFormat/>
    <w:uiPriority w:val="0"/>
    <w:pPr>
      <w:numPr>
        <w:ilvl w:val="4"/>
        <w:numId w:val="0"/>
      </w:numPr>
      <w:outlineLvl w:val="4"/>
    </w:pPr>
  </w:style>
  <w:style w:type="paragraph" w:customStyle="1" w:styleId="94">
    <w:name w:val="附录三级无"/>
    <w:basedOn w:val="93"/>
    <w:qFormat/>
    <w:uiPriority w:val="0"/>
    <w:pPr>
      <w:spacing w:beforeLines="0" w:afterLines="0"/>
    </w:pPr>
    <w:rPr>
      <w:rFonts w:ascii="宋体" w:eastAsia="宋体"/>
      <w:szCs w:val="21"/>
    </w:rPr>
  </w:style>
  <w:style w:type="paragraph" w:customStyle="1" w:styleId="95">
    <w:name w:val="附录数字编号列项（二级）"/>
    <w:qFormat/>
    <w:uiPriority w:val="0"/>
    <w:pPr>
      <w:numPr>
        <w:ilvl w:val="1"/>
        <w:numId w:val="8"/>
      </w:numPr>
    </w:pPr>
    <w:rPr>
      <w:rFonts w:ascii="宋体" w:hAnsi="Times New Roman" w:eastAsia="宋体" w:cs="Times New Roman"/>
      <w:sz w:val="21"/>
      <w:lang w:val="en-US" w:eastAsia="zh-CN" w:bidi="ar-SA"/>
    </w:rPr>
  </w:style>
  <w:style w:type="paragraph" w:customStyle="1" w:styleId="96">
    <w:name w:val="附录四级条标题"/>
    <w:basedOn w:val="93"/>
    <w:next w:val="23"/>
    <w:qFormat/>
    <w:uiPriority w:val="0"/>
    <w:pPr>
      <w:numPr>
        <w:ilvl w:val="5"/>
      </w:numPr>
      <w:outlineLvl w:val="5"/>
    </w:pPr>
  </w:style>
  <w:style w:type="paragraph" w:customStyle="1" w:styleId="97">
    <w:name w:val="附录四级无"/>
    <w:basedOn w:val="96"/>
    <w:qFormat/>
    <w:uiPriority w:val="0"/>
    <w:pPr>
      <w:spacing w:beforeLines="0" w:afterLines="0"/>
    </w:pPr>
    <w:rPr>
      <w:rFonts w:ascii="宋体" w:eastAsia="宋体"/>
      <w:szCs w:val="21"/>
    </w:rPr>
  </w:style>
  <w:style w:type="paragraph" w:customStyle="1" w:styleId="98">
    <w:name w:val="附录图标号"/>
    <w:basedOn w:val="1"/>
    <w:qFormat/>
    <w:uiPriority w:val="0"/>
    <w:pPr>
      <w:keepNext/>
      <w:pageBreakBefore/>
      <w:widowControl/>
      <w:numPr>
        <w:ilvl w:val="0"/>
        <w:numId w:val="9"/>
      </w:numPr>
      <w:spacing w:line="14" w:lineRule="exact"/>
      <w:ind w:left="0" w:firstLine="363"/>
      <w:jc w:val="center"/>
      <w:outlineLvl w:val="0"/>
    </w:pPr>
    <w:rPr>
      <w:color w:val="FFFFFF"/>
    </w:rPr>
  </w:style>
  <w:style w:type="paragraph" w:customStyle="1" w:styleId="99">
    <w:name w:val="附录图标题"/>
    <w:basedOn w:val="1"/>
    <w:next w:val="23"/>
    <w:qFormat/>
    <w:uiPriority w:val="0"/>
    <w:pPr>
      <w:numPr>
        <w:ilvl w:val="1"/>
        <w:numId w:val="9"/>
      </w:numPr>
      <w:tabs>
        <w:tab w:val="left" w:pos="363"/>
      </w:tabs>
      <w:spacing w:beforeLines="50" w:afterLines="50"/>
      <w:ind w:left="0" w:firstLine="0"/>
      <w:jc w:val="center"/>
    </w:pPr>
    <w:rPr>
      <w:rFonts w:ascii="黑体" w:eastAsia="黑体"/>
      <w:szCs w:val="21"/>
    </w:rPr>
  </w:style>
  <w:style w:type="paragraph" w:customStyle="1" w:styleId="100">
    <w:name w:val="附录五级条标题"/>
    <w:basedOn w:val="96"/>
    <w:next w:val="23"/>
    <w:qFormat/>
    <w:uiPriority w:val="0"/>
    <w:pPr>
      <w:numPr>
        <w:ilvl w:val="6"/>
      </w:numPr>
      <w:outlineLvl w:val="6"/>
    </w:pPr>
  </w:style>
  <w:style w:type="paragraph" w:customStyle="1" w:styleId="101">
    <w:name w:val="附录五级无"/>
    <w:basedOn w:val="100"/>
    <w:qFormat/>
    <w:uiPriority w:val="0"/>
    <w:pPr>
      <w:spacing w:beforeLines="0" w:afterLines="0"/>
    </w:pPr>
    <w:rPr>
      <w:rFonts w:ascii="宋体" w:eastAsia="宋体"/>
      <w:szCs w:val="21"/>
    </w:rPr>
  </w:style>
  <w:style w:type="paragraph" w:customStyle="1" w:styleId="102">
    <w:name w:val="附录章标题"/>
    <w:next w:val="23"/>
    <w:qFormat/>
    <w:uiPriority w:val="0"/>
    <w:pPr>
      <w:numPr>
        <w:ilvl w:val="1"/>
        <w:numId w:val="6"/>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3">
    <w:name w:val="附录一级条标题"/>
    <w:basedOn w:val="102"/>
    <w:next w:val="23"/>
    <w:qFormat/>
    <w:uiPriority w:val="0"/>
    <w:pPr>
      <w:numPr>
        <w:ilvl w:val="2"/>
      </w:numPr>
      <w:autoSpaceDN w:val="0"/>
      <w:spacing w:beforeLines="50" w:afterLines="50"/>
      <w:outlineLvl w:val="2"/>
    </w:pPr>
  </w:style>
  <w:style w:type="paragraph" w:customStyle="1" w:styleId="104">
    <w:name w:val="附录一级无"/>
    <w:basedOn w:val="103"/>
    <w:qFormat/>
    <w:uiPriority w:val="0"/>
    <w:pPr>
      <w:spacing w:beforeLines="0" w:afterLines="0"/>
    </w:pPr>
    <w:rPr>
      <w:rFonts w:ascii="宋体" w:eastAsia="宋体"/>
      <w:szCs w:val="21"/>
    </w:rPr>
  </w:style>
  <w:style w:type="paragraph" w:customStyle="1" w:styleId="105">
    <w:name w:val="附录字母编号列项（一级）"/>
    <w:qFormat/>
    <w:uiPriority w:val="0"/>
    <w:pPr>
      <w:numPr>
        <w:ilvl w:val="0"/>
        <w:numId w:val="8"/>
      </w:numPr>
    </w:pPr>
    <w:rPr>
      <w:rFonts w:ascii="宋体" w:hAnsi="Times New Roman" w:eastAsia="宋体" w:cs="Times New Roman"/>
      <w:sz w:val="21"/>
      <w:lang w:val="en-US" w:eastAsia="zh-CN" w:bidi="ar-SA"/>
    </w:rPr>
  </w:style>
  <w:style w:type="paragraph" w:customStyle="1" w:styleId="106">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7">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其他标准标志"/>
    <w:basedOn w:val="66"/>
    <w:qFormat/>
    <w:uiPriority w:val="0"/>
    <w:pPr>
      <w:framePr w:w="6101" w:wrap="around" w:vAnchor="page" w:hAnchor="page" w:x="4673" w:y="942"/>
    </w:pPr>
    <w:rPr>
      <w:w w:val="130"/>
    </w:rPr>
  </w:style>
  <w:style w:type="paragraph" w:customStyle="1" w:styleId="11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其他发布部门"/>
    <w:basedOn w:val="74"/>
    <w:qFormat/>
    <w:uiPriority w:val="0"/>
    <w:pPr>
      <w:framePr w:wrap="around" w:y="15310"/>
      <w:spacing w:line="0" w:lineRule="atLeast"/>
    </w:pPr>
    <w:rPr>
      <w:rFonts w:ascii="黑体" w:eastAsia="黑体"/>
      <w:b w:val="0"/>
    </w:rPr>
  </w:style>
  <w:style w:type="paragraph" w:customStyle="1" w:styleId="112">
    <w:name w:val="前言、引言标题"/>
    <w:next w:val="2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3">
    <w:name w:val="三级无"/>
    <w:basedOn w:val="51"/>
    <w:qFormat/>
    <w:uiPriority w:val="0"/>
    <w:pPr>
      <w:spacing w:beforeLines="0" w:afterLines="0"/>
    </w:pPr>
    <w:rPr>
      <w:rFonts w:ascii="宋体" w:eastAsia="宋体"/>
    </w:rPr>
  </w:style>
  <w:style w:type="paragraph" w:customStyle="1" w:styleId="114">
    <w:name w:val="实施日期"/>
    <w:basedOn w:val="75"/>
    <w:qFormat/>
    <w:uiPriority w:val="0"/>
    <w:pPr>
      <w:framePr w:wrap="around" w:vAnchor="page" w:hAnchor="text"/>
      <w:jc w:val="right"/>
    </w:pPr>
  </w:style>
  <w:style w:type="paragraph" w:customStyle="1" w:styleId="115">
    <w:name w:val="示例后文字"/>
    <w:basedOn w:val="23"/>
    <w:next w:val="23"/>
    <w:qFormat/>
    <w:uiPriority w:val="0"/>
    <w:pPr>
      <w:ind w:firstLine="360"/>
    </w:pPr>
    <w:rPr>
      <w:sz w:val="18"/>
    </w:rPr>
  </w:style>
  <w:style w:type="paragraph" w:customStyle="1" w:styleId="116">
    <w:name w:val="首示例"/>
    <w:next w:val="23"/>
    <w:link w:val="117"/>
    <w:qFormat/>
    <w:uiPriority w:val="0"/>
    <w:pPr>
      <w:tabs>
        <w:tab w:val="left" w:pos="360"/>
      </w:tabs>
    </w:pPr>
    <w:rPr>
      <w:rFonts w:ascii="宋体" w:hAnsi="宋体" w:eastAsia="宋体" w:cs="Times New Roman"/>
      <w:kern w:val="2"/>
      <w:sz w:val="18"/>
      <w:szCs w:val="18"/>
      <w:lang w:val="en-US" w:eastAsia="zh-CN" w:bidi="ar-SA"/>
    </w:rPr>
  </w:style>
  <w:style w:type="character" w:customStyle="1" w:styleId="117">
    <w:name w:val="首示例 Char"/>
    <w:link w:val="116"/>
    <w:qFormat/>
    <w:uiPriority w:val="0"/>
    <w:rPr>
      <w:rFonts w:ascii="宋体" w:hAnsi="宋体"/>
      <w:kern w:val="2"/>
      <w:sz w:val="18"/>
      <w:szCs w:val="18"/>
    </w:rPr>
  </w:style>
  <w:style w:type="paragraph" w:customStyle="1" w:styleId="118">
    <w:name w:val="四级无"/>
    <w:basedOn w:val="55"/>
    <w:qFormat/>
    <w:uiPriority w:val="0"/>
    <w:pPr>
      <w:spacing w:beforeLines="0" w:afterLines="0"/>
    </w:pPr>
    <w:rPr>
      <w:rFonts w:ascii="宋体" w:eastAsia="宋体"/>
    </w:rPr>
  </w:style>
  <w:style w:type="paragraph" w:customStyle="1" w:styleId="119">
    <w:name w:val="条文脚注"/>
    <w:basedOn w:val="24"/>
    <w:qFormat/>
    <w:uiPriority w:val="0"/>
    <w:pPr>
      <w:numPr>
        <w:numId w:val="0"/>
      </w:numPr>
      <w:jc w:val="both"/>
    </w:pPr>
  </w:style>
  <w:style w:type="paragraph" w:customStyle="1" w:styleId="120">
    <w:name w:val="图标脚注说明"/>
    <w:basedOn w:val="23"/>
    <w:qFormat/>
    <w:uiPriority w:val="0"/>
    <w:pPr>
      <w:ind w:left="840" w:hanging="420" w:firstLineChars="0"/>
    </w:pPr>
    <w:rPr>
      <w:sz w:val="18"/>
      <w:szCs w:val="18"/>
    </w:rPr>
  </w:style>
  <w:style w:type="paragraph" w:customStyle="1" w:styleId="121">
    <w:name w:val="图表脚注说明"/>
    <w:basedOn w:val="1"/>
    <w:qFormat/>
    <w:uiPriority w:val="0"/>
    <w:pPr>
      <w:ind w:left="544" w:hanging="181"/>
    </w:pPr>
    <w:rPr>
      <w:rFonts w:ascii="宋体"/>
      <w:sz w:val="18"/>
      <w:szCs w:val="18"/>
    </w:rPr>
  </w:style>
  <w:style w:type="paragraph" w:customStyle="1" w:styleId="122">
    <w:name w:val="图的脚注"/>
    <w:next w:val="2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3">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4">
    <w:name w:val="五级无"/>
    <w:basedOn w:val="56"/>
    <w:qFormat/>
    <w:uiPriority w:val="0"/>
    <w:pPr>
      <w:spacing w:beforeLines="0" w:afterLines="0"/>
    </w:pPr>
    <w:rPr>
      <w:rFonts w:ascii="宋体" w:eastAsia="宋体"/>
    </w:rPr>
  </w:style>
  <w:style w:type="paragraph" w:customStyle="1" w:styleId="125">
    <w:name w:val="一级无"/>
    <w:basedOn w:val="42"/>
    <w:qFormat/>
    <w:uiPriority w:val="0"/>
    <w:pPr>
      <w:spacing w:beforeLines="0" w:afterLines="0"/>
    </w:pPr>
    <w:rPr>
      <w:rFonts w:ascii="宋体" w:eastAsia="宋体"/>
    </w:rPr>
  </w:style>
  <w:style w:type="character" w:customStyle="1" w:styleId="126">
    <w:name w:val="已访问的超链接1"/>
    <w:qFormat/>
    <w:uiPriority w:val="0"/>
    <w:rPr>
      <w:color w:val="800080"/>
      <w:u w:val="single"/>
    </w:rPr>
  </w:style>
  <w:style w:type="paragraph" w:customStyle="1" w:styleId="127">
    <w:name w:val="正文表标题"/>
    <w:next w:val="23"/>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8">
    <w:name w:val="正文公式编号制表符"/>
    <w:basedOn w:val="23"/>
    <w:next w:val="23"/>
    <w:qFormat/>
    <w:uiPriority w:val="0"/>
    <w:pPr>
      <w:ind w:firstLine="0" w:firstLineChars="0"/>
    </w:pPr>
  </w:style>
  <w:style w:type="paragraph" w:customStyle="1" w:styleId="129">
    <w:name w:val="正文图标题"/>
    <w:next w:val="23"/>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0">
    <w:name w:val="终结线"/>
    <w:basedOn w:val="1"/>
    <w:qFormat/>
    <w:uiPriority w:val="0"/>
    <w:pPr>
      <w:framePr w:hSpace="181" w:vSpace="181" w:wrap="around" w:vAnchor="text" w:hAnchor="margin" w:xAlign="center" w:y="285"/>
    </w:pPr>
  </w:style>
  <w:style w:type="paragraph" w:customStyle="1" w:styleId="131">
    <w:name w:val="其他发布日期"/>
    <w:basedOn w:val="75"/>
    <w:qFormat/>
    <w:uiPriority w:val="0"/>
    <w:pPr>
      <w:framePr w:wrap="around" w:vAnchor="page" w:hAnchor="text" w:x="1419"/>
    </w:pPr>
  </w:style>
  <w:style w:type="paragraph" w:customStyle="1" w:styleId="132">
    <w:name w:val="其他实施日期"/>
    <w:basedOn w:val="114"/>
    <w:qFormat/>
    <w:uiPriority w:val="0"/>
    <w:pPr>
      <w:framePr w:wrap="around"/>
    </w:pPr>
  </w:style>
  <w:style w:type="paragraph" w:customStyle="1" w:styleId="133">
    <w:name w:val="封面标准名称2"/>
    <w:basedOn w:val="78"/>
    <w:qFormat/>
    <w:uiPriority w:val="0"/>
    <w:pPr>
      <w:framePr w:wrap="around" w:y="4469"/>
      <w:spacing w:beforeLines="630"/>
    </w:pPr>
  </w:style>
  <w:style w:type="paragraph" w:customStyle="1" w:styleId="134">
    <w:name w:val="封面标准英文名称2"/>
    <w:basedOn w:val="79"/>
    <w:qFormat/>
    <w:uiPriority w:val="0"/>
    <w:pPr>
      <w:framePr w:wrap="around" w:y="4469"/>
    </w:pPr>
  </w:style>
  <w:style w:type="paragraph" w:customStyle="1" w:styleId="135">
    <w:name w:val="封面一致性程度标识2"/>
    <w:basedOn w:val="80"/>
    <w:qFormat/>
    <w:uiPriority w:val="0"/>
    <w:pPr>
      <w:framePr w:wrap="around" w:y="4469"/>
    </w:pPr>
  </w:style>
  <w:style w:type="paragraph" w:customStyle="1" w:styleId="136">
    <w:name w:val="封面标准文稿类别2"/>
    <w:basedOn w:val="81"/>
    <w:qFormat/>
    <w:uiPriority w:val="0"/>
    <w:pPr>
      <w:framePr w:wrap="around" w:y="4469"/>
    </w:pPr>
  </w:style>
  <w:style w:type="paragraph" w:customStyle="1" w:styleId="137">
    <w:name w:val="封面标准文稿编辑信息2"/>
    <w:basedOn w:val="82"/>
    <w:qFormat/>
    <w:uiPriority w:val="0"/>
    <w:pPr>
      <w:framePr w:wrap="around" w:y="4469"/>
    </w:pPr>
  </w:style>
  <w:style w:type="table" w:customStyle="1" w:styleId="138">
    <w:name w:val="网格型1"/>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9">
    <w:name w:val="标题 1 字符"/>
    <w:link w:val="2"/>
    <w:qFormat/>
    <w:uiPriority w:val="0"/>
    <w:rPr>
      <w:b/>
      <w:bCs/>
      <w:kern w:val="44"/>
      <w:sz w:val="44"/>
      <w:szCs w:val="44"/>
    </w:rPr>
  </w:style>
  <w:style w:type="paragraph" w:customStyle="1" w:styleId="140">
    <w:name w:val="TOC 标题1"/>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141">
    <w:name w:val="批注框文本 字符"/>
    <w:link w:val="16"/>
    <w:qFormat/>
    <w:uiPriority w:val="0"/>
    <w:rPr>
      <w:kern w:val="2"/>
      <w:sz w:val="18"/>
      <w:szCs w:val="18"/>
    </w:rPr>
  </w:style>
  <w:style w:type="character" w:customStyle="1" w:styleId="142">
    <w:name w:val="批注文字 字符"/>
    <w:basedOn w:val="35"/>
    <w:link w:val="8"/>
    <w:qFormat/>
    <w:uiPriority w:val="99"/>
    <w:rPr>
      <w:kern w:val="2"/>
      <w:sz w:val="21"/>
      <w:szCs w:val="24"/>
    </w:rPr>
  </w:style>
  <w:style w:type="character" w:customStyle="1" w:styleId="143">
    <w:name w:val="批注主题 字符"/>
    <w:basedOn w:val="142"/>
    <w:link w:val="32"/>
    <w:qFormat/>
    <w:uiPriority w:val="0"/>
    <w:rPr>
      <w:b/>
      <w:bCs/>
      <w:kern w:val="2"/>
      <w:sz w:val="21"/>
      <w:szCs w:val="24"/>
    </w:rPr>
  </w:style>
  <w:style w:type="paragraph" w:styleId="144">
    <w:name w:val="List Paragraph"/>
    <w:basedOn w:val="1"/>
    <w:qFormat/>
    <w:uiPriority w:val="34"/>
    <w:pPr>
      <w:widowControl/>
      <w:ind w:firstLine="420"/>
    </w:pPr>
    <w:rPr>
      <w:rFonts w:ascii="Calibri" w:hAnsi="Calibri" w:cs="Calibri"/>
      <w:kern w:val="0"/>
      <w:szCs w:val="21"/>
    </w:rPr>
  </w:style>
  <w:style w:type="paragraph" w:customStyle="1" w:styleId="145">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46">
    <w:name w:val="列出段落2"/>
    <w:basedOn w:val="1"/>
    <w:qFormat/>
    <w:uiPriority w:val="34"/>
    <w:pPr>
      <w:ind w:firstLine="420" w:firstLineChars="200"/>
    </w:pPr>
    <w:rPr>
      <w:rFonts w:asciiTheme="minorHAnsi" w:hAnsiTheme="minorHAnsi" w:eastAsiaTheme="minorEastAsia" w:cstheme="minorBidi"/>
      <w:szCs w:val="22"/>
    </w:rPr>
  </w:style>
  <w:style w:type="paragraph" w:customStyle="1" w:styleId="14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8">
    <w:name w:val="未处理的提及1"/>
    <w:basedOn w:val="35"/>
    <w:semiHidden/>
    <w:unhideWhenUsed/>
    <w:qFormat/>
    <w:uiPriority w:val="99"/>
    <w:rPr>
      <w:color w:val="808080"/>
      <w:shd w:val="clear" w:color="auto" w:fill="E6E6E6"/>
    </w:rPr>
  </w:style>
  <w:style w:type="character" w:customStyle="1" w:styleId="149">
    <w:name w:val="未处理的提及2"/>
    <w:basedOn w:val="35"/>
    <w:semiHidden/>
    <w:unhideWhenUsed/>
    <w:qFormat/>
    <w:uiPriority w:val="99"/>
    <w:rPr>
      <w:color w:val="808080"/>
      <w:shd w:val="clear" w:color="auto" w:fill="E6E6E6"/>
    </w:rPr>
  </w:style>
  <w:style w:type="character" w:customStyle="1" w:styleId="150">
    <w:name w:val="未处理的提及3"/>
    <w:basedOn w:val="35"/>
    <w:semiHidden/>
    <w:unhideWhenUsed/>
    <w:qFormat/>
    <w:uiPriority w:val="99"/>
    <w:rPr>
      <w:color w:val="808080"/>
      <w:shd w:val="clear" w:color="auto" w:fill="E6E6E6"/>
    </w:rPr>
  </w:style>
  <w:style w:type="character" w:styleId="151">
    <w:name w:val="Placeholder Text"/>
    <w:basedOn w:val="35"/>
    <w:semiHidden/>
    <w:qFormat/>
    <w:uiPriority w:val="99"/>
    <w:rPr>
      <w:color w:val="808080"/>
    </w:rPr>
  </w:style>
  <w:style w:type="character" w:customStyle="1" w:styleId="152">
    <w:name w:val="fontstyle01"/>
    <w:basedOn w:val="35"/>
    <w:qFormat/>
    <w:uiPriority w:val="0"/>
    <w:rPr>
      <w:rFonts w:hint="eastAsia" w:ascii="宋体" w:hAnsi="宋体" w:eastAsia="宋体"/>
      <w:color w:val="000000"/>
      <w:sz w:val="18"/>
      <w:szCs w:val="18"/>
    </w:rPr>
  </w:style>
  <w:style w:type="character" w:customStyle="1" w:styleId="153">
    <w:name w:val="fontstyle21"/>
    <w:basedOn w:val="35"/>
    <w:qFormat/>
    <w:uiPriority w:val="0"/>
    <w:rPr>
      <w:rFonts w:hint="default" w:ascii="Times New Roman" w:hAnsi="Times New Roman" w:cs="Times New Roman"/>
      <w:color w:val="000000"/>
      <w:sz w:val="18"/>
      <w:szCs w:val="18"/>
    </w:rPr>
  </w:style>
  <w:style w:type="paragraph" w:customStyle="1" w:styleId="154">
    <w:name w:val="标准文件_文件编号"/>
    <w:basedOn w:val="1"/>
    <w:qFormat/>
    <w:uiPriority w:val="0"/>
    <w:pPr>
      <w:framePr w:w="9356" w:h="624" w:hRule="exact" w:hSpace="181" w:vSpace="181" w:wrap="auto" w:vAnchor="page" w:hAnchor="page" w:x="1419" w:y="3284"/>
      <w:widowControl/>
      <w:wordWrap w:val="0"/>
      <w:autoSpaceDE w:val="0"/>
      <w:autoSpaceDN w:val="0"/>
      <w:spacing w:line="280" w:lineRule="exact"/>
      <w:jc w:val="right"/>
    </w:pPr>
    <w:rPr>
      <w:rFonts w:ascii="黑体" w:eastAsia="黑体"/>
      <w:bCs/>
      <w:kern w:val="0"/>
      <w:sz w:val="28"/>
      <w:szCs w:val="28"/>
    </w:rPr>
  </w:style>
  <w:style w:type="paragraph" w:customStyle="1" w:styleId="155">
    <w:name w:val="标准文件_替换文件编号"/>
    <w:basedOn w:val="154"/>
    <w:qFormat/>
    <w:uiPriority w:val="0"/>
    <w:pPr>
      <w:framePr/>
      <w:spacing w:before="57"/>
    </w:pPr>
    <w:rPr>
      <w:sz w:val="21"/>
    </w:rPr>
  </w:style>
  <w:style w:type="paragraph" w:customStyle="1" w:styleId="156">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57">
    <w:name w:val="fontstyle11"/>
    <w:basedOn w:val="35"/>
    <w:qFormat/>
    <w:uiPriority w:val="0"/>
    <w:rPr>
      <w:rFonts w:hint="eastAsia" w:ascii="宋体" w:hAnsi="宋体" w:eastAsia="宋体"/>
      <w:color w:val="000000"/>
      <w:sz w:val="22"/>
      <w:szCs w:val="22"/>
    </w:rPr>
  </w:style>
  <w:style w:type="paragraph" w:customStyle="1" w:styleId="158">
    <w:name w:val="标准文件_段"/>
    <w:link w:val="15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59">
    <w:name w:val="标准文件_段 Char"/>
    <w:link w:val="158"/>
    <w:qFormat/>
    <w:uiPriority w:val="0"/>
    <w:rPr>
      <w:rFonts w:ascii="宋体"/>
      <w:sz w:val="21"/>
    </w:rPr>
  </w:style>
  <w:style w:type="paragraph" w:customStyle="1" w:styleId="16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61">
    <w:name w:val="Revision"/>
    <w:hidden/>
    <w:unhideWhenUsed/>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tiff"/><Relationship Id="rId6" Type="http://schemas.openxmlformats.org/officeDocument/2006/relationships/image" Target="media/image1.png"/><Relationship Id="rId5" Type="http://schemas.openxmlformats.org/officeDocument/2006/relationships/theme" Target="theme/theme1.xml"/><Relationship Id="rId42" Type="http://schemas.openxmlformats.org/officeDocument/2006/relationships/fontTable" Target="fontTable.xml"/><Relationship Id="rId41" Type="http://schemas.microsoft.com/office/2006/relationships/keyMapCustomizations" Target="customizations.xml"/><Relationship Id="rId40" Type="http://schemas.openxmlformats.org/officeDocument/2006/relationships/customXml" Target="../customXml/item2.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wmf"/><Relationship Id="rId28" Type="http://schemas.openxmlformats.org/officeDocument/2006/relationships/oleObject" Target="embeddings/oleObject3.bin"/><Relationship Id="rId27" Type="http://schemas.openxmlformats.org/officeDocument/2006/relationships/image" Target="media/image18.wmf"/><Relationship Id="rId26" Type="http://schemas.openxmlformats.org/officeDocument/2006/relationships/oleObject" Target="embeddings/oleObject2.bin"/><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32993;&#24314;\Desktop\&#25391;&#21160;&#21407;&#29256;&#22270;(g&#29256;&#2641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32993;&#24314;\Desktop\&#25391;&#21160;&#21407;&#29256;&#22270;(g&#29256;&#264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图3!$C$2</c:f>
              <c:strCache>
                <c:ptCount val="1"/>
                <c:pt idx="0">
                  <c:v>z向</c:v>
                </c:pt>
              </c:strCache>
            </c:strRef>
          </c:tx>
          <c:spPr>
            <a:ln w="28575" cap="rnd">
              <a:solidFill>
                <a:schemeClr val="tx1"/>
              </a:solidFill>
              <a:round/>
            </a:ln>
            <a:effectLst/>
          </c:spPr>
          <c:marker>
            <c:symbol val="none"/>
          </c:marker>
          <c:dLbls>
            <c:delete val="1"/>
          </c:dLbls>
          <c:xVal>
            <c:numRef>
              <c:f>图3!$B$3:$B$8</c:f>
              <c:numCache>
                <c:formatCode>General</c:formatCode>
                <c:ptCount val="6"/>
                <c:pt idx="0">
                  <c:v>5</c:v>
                </c:pt>
                <c:pt idx="1">
                  <c:v>10</c:v>
                </c:pt>
                <c:pt idx="2">
                  <c:v>15</c:v>
                </c:pt>
                <c:pt idx="3">
                  <c:v>40</c:v>
                </c:pt>
                <c:pt idx="4">
                  <c:v>100</c:v>
                </c:pt>
                <c:pt idx="5">
                  <c:v>200</c:v>
                </c:pt>
              </c:numCache>
            </c:numRef>
          </c:xVal>
          <c:yVal>
            <c:numRef>
              <c:f>图3!$C$3:$C$8</c:f>
              <c:numCache>
                <c:formatCode>General</c:formatCode>
                <c:ptCount val="6"/>
                <c:pt idx="0">
                  <c:v>0.008</c:v>
                </c:pt>
                <c:pt idx="1">
                  <c:v>0.042</c:v>
                </c:pt>
                <c:pt idx="2">
                  <c:v>0.042</c:v>
                </c:pt>
                <c:pt idx="3">
                  <c:v>0.0005</c:v>
                </c:pt>
                <c:pt idx="4">
                  <c:v>0.0005</c:v>
                </c:pt>
                <c:pt idx="5">
                  <c:v>1e-5</c:v>
                </c:pt>
              </c:numCache>
            </c:numRef>
          </c:yVal>
          <c:smooth val="0"/>
        </c:ser>
        <c:ser>
          <c:idx val="0"/>
          <c:order val="1"/>
          <c:tx>
            <c:strRef>
              <c:f>图3!$F$2</c:f>
              <c:strCache>
                <c:ptCount val="1"/>
                <c:pt idx="0">
                  <c:v>y向</c:v>
                </c:pt>
              </c:strCache>
            </c:strRef>
          </c:tx>
          <c:spPr>
            <a:ln w="28575" cap="rnd">
              <a:solidFill>
                <a:schemeClr val="tx1"/>
              </a:solidFill>
              <a:prstDash val="dash"/>
              <a:round/>
            </a:ln>
            <a:effectLst/>
          </c:spPr>
          <c:marker>
            <c:symbol val="none"/>
          </c:marker>
          <c:dLbls>
            <c:delete val="1"/>
          </c:dLbls>
          <c:xVal>
            <c:numRef>
              <c:f>图3!$E$3:$E$8</c:f>
              <c:numCache>
                <c:formatCode>General</c:formatCode>
                <c:ptCount val="6"/>
                <c:pt idx="0">
                  <c:v>5</c:v>
                </c:pt>
                <c:pt idx="1">
                  <c:v>10</c:v>
                </c:pt>
                <c:pt idx="2">
                  <c:v>15</c:v>
                </c:pt>
                <c:pt idx="3">
                  <c:v>60</c:v>
                </c:pt>
                <c:pt idx="4">
                  <c:v>100</c:v>
                </c:pt>
                <c:pt idx="5">
                  <c:v>200</c:v>
                </c:pt>
              </c:numCache>
            </c:numRef>
          </c:xVal>
          <c:yVal>
            <c:numRef>
              <c:f>图3!$F$3:$F$8</c:f>
              <c:numCache>
                <c:formatCode>General</c:formatCode>
                <c:ptCount val="6"/>
                <c:pt idx="0">
                  <c:v>0.005</c:v>
                </c:pt>
                <c:pt idx="1">
                  <c:v>0.025</c:v>
                </c:pt>
                <c:pt idx="2">
                  <c:v>0.025</c:v>
                </c:pt>
                <c:pt idx="3">
                  <c:v>0.0001</c:v>
                </c:pt>
                <c:pt idx="4">
                  <c:v>0.0001</c:v>
                </c:pt>
                <c:pt idx="5">
                  <c:v>1e-5</c:v>
                </c:pt>
              </c:numCache>
            </c:numRef>
          </c:yVal>
          <c:smooth val="0"/>
        </c:ser>
        <c:ser>
          <c:idx val="1"/>
          <c:order val="2"/>
          <c:tx>
            <c:strRef>
              <c:f>图3!$I$2</c:f>
              <c:strCache>
                <c:ptCount val="1"/>
                <c:pt idx="0">
                  <c:v>x向</c:v>
                </c:pt>
              </c:strCache>
            </c:strRef>
          </c:tx>
          <c:spPr>
            <a:ln w="28575" cap="rnd">
              <a:solidFill>
                <a:schemeClr val="tx1"/>
              </a:solidFill>
              <a:prstDash val="sysDot"/>
              <a:round/>
            </a:ln>
            <a:effectLst/>
          </c:spPr>
          <c:marker>
            <c:symbol val="none"/>
          </c:marker>
          <c:dLbls>
            <c:delete val="1"/>
          </c:dLbls>
          <c:xVal>
            <c:numRef>
              <c:f>图3!$H$3:$H$6</c:f>
              <c:numCache>
                <c:formatCode>General</c:formatCode>
                <c:ptCount val="4"/>
                <c:pt idx="0">
                  <c:v>5</c:v>
                </c:pt>
                <c:pt idx="1">
                  <c:v>10</c:v>
                </c:pt>
                <c:pt idx="2">
                  <c:v>15</c:v>
                </c:pt>
                <c:pt idx="3">
                  <c:v>200</c:v>
                </c:pt>
              </c:numCache>
            </c:numRef>
          </c:xVal>
          <c:yVal>
            <c:numRef>
              <c:f>图3!$I$3:$I$6</c:f>
              <c:numCache>
                <c:formatCode>General</c:formatCode>
                <c:ptCount val="4"/>
                <c:pt idx="0">
                  <c:v>0.002</c:v>
                </c:pt>
                <c:pt idx="1">
                  <c:v>0.018</c:v>
                </c:pt>
                <c:pt idx="2">
                  <c:v>0.018</c:v>
                </c:pt>
                <c:pt idx="3">
                  <c:v>1e-5</c:v>
                </c:pt>
              </c:numCache>
            </c:numRef>
          </c:yVal>
          <c:smooth val="0"/>
        </c:ser>
        <c:dLbls>
          <c:showLegendKey val="0"/>
          <c:showVal val="0"/>
          <c:showCatName val="0"/>
          <c:showSerName val="0"/>
          <c:showPercent val="0"/>
          <c:showBubbleSize val="0"/>
        </c:dLbls>
        <c:axId val="185172544"/>
        <c:axId val="185173104"/>
      </c:scatterChart>
      <c:valAx>
        <c:axId val="185172544"/>
        <c:scaling>
          <c:logBase val="10"/>
          <c:orientation val="minMax"/>
        </c:scaling>
        <c:delete val="0"/>
        <c:axPos val="b"/>
        <c:majorGridlines>
          <c:spPr>
            <a:ln w="9525" cap="flat" cmpd="sng" algn="ctr">
              <a:solidFill>
                <a:schemeClr val="bg1">
                  <a:lumMod val="50000"/>
                </a:schemeClr>
              </a:solidFill>
              <a:round/>
            </a:ln>
            <a:effectLst/>
          </c:spPr>
        </c:majorGridlines>
        <c:minorGridlines>
          <c:spPr>
            <a:ln w="9525" cap="flat" cmpd="sng" algn="ctr">
              <a:solidFill>
                <a:schemeClr val="bg1">
                  <a:lumMod val="50000"/>
                </a:schemeClr>
              </a:solidFill>
              <a:round/>
            </a:ln>
            <a:effectLst/>
          </c:spPr>
        </c:minorGridlines>
        <c:title>
          <c:tx>
            <c:rich>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j-ea"/>
                    <a:cs typeface="Times New Roman" panose="02020603050405020304" charset="0"/>
                  </a:defRPr>
                </a:pPr>
                <a:r>
                  <a:rPr lang="zh-CN">
                    <a:latin typeface="Times New Roman" panose="02020603050405020304" charset="0"/>
                    <a:cs typeface="Times New Roman" panose="02020603050405020304" charset="0"/>
                  </a:rPr>
                  <a:t>频率</a:t>
                </a:r>
                <a:r>
                  <a:rPr lang="en-US">
                    <a:latin typeface="Times New Roman" panose="02020603050405020304" charset="0"/>
                    <a:cs typeface="Times New Roman" panose="02020603050405020304" charset="0"/>
                  </a:rPr>
                  <a:t>/Hz</a:t>
                </a:r>
                <a:endParaRPr lang="zh-CN">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j-ea"/>
                <a:ea typeface="+mj-ea"/>
                <a:cs typeface="+mn-cs"/>
              </a:defRPr>
            </a:pPr>
          </a:p>
        </c:txPr>
        <c:crossAx val="185173104"/>
        <c:crossesAt val="1e-5"/>
        <c:crossBetween val="midCat"/>
      </c:valAx>
      <c:valAx>
        <c:axId val="185173104"/>
        <c:scaling>
          <c:logBase val="10"/>
          <c:orientation val="minMax"/>
          <c:max val="0.1"/>
        </c:scaling>
        <c:delete val="0"/>
        <c:axPos val="l"/>
        <c:majorGridlines>
          <c:spPr>
            <a:ln w="9525" cap="flat" cmpd="sng" algn="ctr">
              <a:solidFill>
                <a:schemeClr val="bg1">
                  <a:lumMod val="50000"/>
                </a:schemeClr>
              </a:solidFill>
              <a:round/>
            </a:ln>
            <a:effectLst/>
          </c:spPr>
        </c:majorGridlines>
        <c:minorGridlines>
          <c:spPr>
            <a:ln w="9525" cap="flat" cmpd="sng" algn="ctr">
              <a:solidFill>
                <a:schemeClr val="bg1">
                  <a:lumMod val="50000"/>
                </a:schemeClr>
              </a:solidFill>
              <a:round/>
            </a:ln>
            <a:effectLst/>
          </c:spPr>
        </c:minorGridlines>
        <c:title>
          <c:tx>
            <c:rich>
              <a:bodyPr rot="-54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j-ea"/>
                    <a:cs typeface="Times New Roman" panose="02020603050405020304" charset="0"/>
                  </a:defRPr>
                </a:pPr>
                <a:r>
                  <a:rPr lang="zh-CN">
                    <a:latin typeface="Times New Roman" panose="02020603050405020304" charset="0"/>
                    <a:cs typeface="Times New Roman" panose="02020603050405020304" charset="0"/>
                  </a:rPr>
                  <a:t>功率谱密度</a:t>
                </a:r>
                <a:r>
                  <a:rPr lang="en-US">
                    <a:latin typeface="Times New Roman" panose="02020603050405020304" charset="0"/>
                    <a:cs typeface="Times New Roman" panose="02020603050405020304" charset="0"/>
                  </a:rPr>
                  <a:t>/</a:t>
                </a:r>
                <a:r>
                  <a:rPr lang="zh-CN">
                    <a:latin typeface="Times New Roman" panose="02020603050405020304" charset="0"/>
                    <a:cs typeface="Times New Roman" panose="02020603050405020304" charset="0"/>
                  </a:rPr>
                  <a:t>（</a:t>
                </a:r>
                <a:r>
                  <a:rPr lang="en-US">
                    <a:latin typeface="Times New Roman" panose="02020603050405020304" charset="0"/>
                    <a:cs typeface="Times New Roman" panose="02020603050405020304" charset="0"/>
                  </a:rPr>
                  <a:t>g</a:t>
                </a:r>
                <a:r>
                  <a:rPr lang="en-US" baseline="30000">
                    <a:latin typeface="Times New Roman" panose="02020603050405020304" charset="0"/>
                    <a:cs typeface="Times New Roman" panose="02020603050405020304" charset="0"/>
                  </a:rPr>
                  <a:t>2</a:t>
                </a:r>
                <a:r>
                  <a:rPr lang="en-US">
                    <a:latin typeface="Times New Roman" panose="02020603050405020304" charset="0"/>
                    <a:cs typeface="Times New Roman" panose="02020603050405020304" charset="0"/>
                  </a:rPr>
                  <a:t>/Hz</a:t>
                </a:r>
                <a:r>
                  <a:rPr lang="zh-CN">
                    <a:latin typeface="Times New Roman" panose="02020603050405020304" charset="0"/>
                    <a:cs typeface="Times New Roman" panose="02020603050405020304" charset="0"/>
                  </a:rPr>
                  <a:t>）</a:t>
                </a:r>
                <a:endParaRPr lang="zh-CN">
                  <a:latin typeface="Times New Roman" panose="02020603050405020304" charset="0"/>
                  <a:cs typeface="Times New Roman" panose="02020603050405020304" charset="0"/>
                </a:endParaRPr>
              </a:p>
            </c:rich>
          </c:tx>
          <c:layout>
            <c:manualLayout>
              <c:xMode val="edge"/>
              <c:yMode val="edge"/>
              <c:x val="0.0415032679738562"/>
              <c:y val="0.129338271604938"/>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j-ea"/>
                <a:ea typeface="+mj-ea"/>
                <a:cs typeface="+mn-cs"/>
              </a:defRPr>
            </a:pPr>
          </a:p>
        </c:txPr>
        <c:crossAx val="185172544"/>
        <c:crosses val="autoZero"/>
        <c:crossBetween val="midCat"/>
      </c:valAx>
      <c:spPr>
        <a:noFill/>
        <a:ln>
          <a:solidFill>
            <a:schemeClr val="tx1"/>
          </a:solidFill>
        </a:ln>
        <a:effectLst/>
      </c:spPr>
    </c:plotArea>
    <c:legend>
      <c:legendPos val="r"/>
      <c:layout>
        <c:manualLayout>
          <c:xMode val="edge"/>
          <c:yMode val="edge"/>
          <c:x val="0.741646300606915"/>
          <c:y val="0.0868882640831247"/>
          <c:w val="0.179482465277778"/>
          <c:h val="0.276217901234568"/>
        </c:manualLayout>
      </c:layout>
      <c:overlay val="1"/>
      <c:spPr>
        <a:solidFill>
          <a:schemeClr val="bg1"/>
        </a:solid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j-ea"/>
              <a:ea typeface="+mj-ea"/>
              <a:cs typeface="+mn-cs"/>
            </a:defRPr>
          </a:pPr>
        </a:p>
      </c:txPr>
    </c:legend>
    <c:plotVisOnly val="1"/>
    <c:dispBlanksAs val="gap"/>
    <c:showDLblsOverMax val="0"/>
  </c:chart>
  <c:spPr>
    <a:solidFill>
      <a:schemeClr val="bg1"/>
    </a:solidFill>
    <a:ln w="6350" cap="flat" cmpd="sng" algn="ctr">
      <a:solidFill>
        <a:schemeClr val="tx1"/>
      </a:solidFill>
      <a:round/>
    </a:ln>
    <a:effectLst/>
  </c:spPr>
  <c:txPr>
    <a:bodyPr/>
    <a:lstStyle/>
    <a:p>
      <a:pPr>
        <a:defRPr lang="zh-CN" sz="900" b="0" baseline="0">
          <a:solidFill>
            <a:schemeClr val="tx1"/>
          </a:solidFill>
          <a:latin typeface="+mj-ea"/>
          <a:ea typeface="+mj-ea"/>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图4!$C$2</c:f>
              <c:strCache>
                <c:ptCount val="1"/>
                <c:pt idx="0">
                  <c:v>z向</c:v>
                </c:pt>
              </c:strCache>
            </c:strRef>
          </c:tx>
          <c:spPr>
            <a:ln w="28575" cap="rnd">
              <a:solidFill>
                <a:schemeClr val="tx1"/>
              </a:solidFill>
              <a:round/>
            </a:ln>
            <a:effectLst/>
          </c:spPr>
          <c:marker>
            <c:symbol val="none"/>
          </c:marker>
          <c:dLbls>
            <c:delete val="1"/>
          </c:dLbls>
          <c:xVal>
            <c:numRef>
              <c:f>图4!$B$3:$B$7</c:f>
              <c:numCache>
                <c:formatCode>General</c:formatCode>
                <c:ptCount val="5"/>
                <c:pt idx="0">
                  <c:v>5</c:v>
                </c:pt>
                <c:pt idx="1">
                  <c:v>15</c:v>
                </c:pt>
                <c:pt idx="2">
                  <c:v>65</c:v>
                </c:pt>
                <c:pt idx="3">
                  <c:v>100</c:v>
                </c:pt>
                <c:pt idx="4">
                  <c:v>200</c:v>
                </c:pt>
              </c:numCache>
            </c:numRef>
          </c:xVal>
          <c:yVal>
            <c:numRef>
              <c:f>图4!$C$3:$C$7</c:f>
              <c:numCache>
                <c:formatCode>General</c:formatCode>
                <c:ptCount val="5"/>
                <c:pt idx="0">
                  <c:v>0.015</c:v>
                </c:pt>
                <c:pt idx="1">
                  <c:v>0.015</c:v>
                </c:pt>
                <c:pt idx="2">
                  <c:v>0.001</c:v>
                </c:pt>
                <c:pt idx="3">
                  <c:v>0.001</c:v>
                </c:pt>
                <c:pt idx="4">
                  <c:v>0.0001</c:v>
                </c:pt>
              </c:numCache>
            </c:numRef>
          </c:yVal>
          <c:smooth val="0"/>
        </c:ser>
        <c:ser>
          <c:idx val="0"/>
          <c:order val="1"/>
          <c:tx>
            <c:strRef>
              <c:f>图4!$F$2</c:f>
              <c:strCache>
                <c:ptCount val="1"/>
                <c:pt idx="0">
                  <c:v>y向</c:v>
                </c:pt>
              </c:strCache>
            </c:strRef>
          </c:tx>
          <c:spPr>
            <a:ln w="28575" cap="rnd">
              <a:solidFill>
                <a:schemeClr val="tx1"/>
              </a:solidFill>
              <a:prstDash val="dash"/>
              <a:round/>
            </a:ln>
            <a:effectLst/>
          </c:spPr>
          <c:marker>
            <c:symbol val="none"/>
          </c:marker>
          <c:dLbls>
            <c:delete val="1"/>
          </c:dLbls>
          <c:xVal>
            <c:numRef>
              <c:f>图4!$E$3:$E$6</c:f>
              <c:numCache>
                <c:formatCode>General</c:formatCode>
                <c:ptCount val="4"/>
                <c:pt idx="0">
                  <c:v>5</c:v>
                </c:pt>
                <c:pt idx="1">
                  <c:v>10</c:v>
                </c:pt>
                <c:pt idx="2">
                  <c:v>20</c:v>
                </c:pt>
                <c:pt idx="3">
                  <c:v>200</c:v>
                </c:pt>
              </c:numCache>
            </c:numRef>
          </c:xVal>
          <c:yVal>
            <c:numRef>
              <c:f>图4!$F$3:$F$6</c:f>
              <c:numCache>
                <c:formatCode>General</c:formatCode>
                <c:ptCount val="4"/>
                <c:pt idx="0">
                  <c:v>0.002</c:v>
                </c:pt>
                <c:pt idx="1">
                  <c:v>0.005</c:v>
                </c:pt>
                <c:pt idx="2">
                  <c:v>0.005</c:v>
                </c:pt>
                <c:pt idx="3">
                  <c:v>0.00015</c:v>
                </c:pt>
              </c:numCache>
            </c:numRef>
          </c:yVal>
          <c:smooth val="0"/>
        </c:ser>
        <c:ser>
          <c:idx val="1"/>
          <c:order val="2"/>
          <c:tx>
            <c:strRef>
              <c:f>图4!$I$2</c:f>
              <c:strCache>
                <c:ptCount val="1"/>
                <c:pt idx="0">
                  <c:v>x向</c:v>
                </c:pt>
              </c:strCache>
            </c:strRef>
          </c:tx>
          <c:spPr>
            <a:ln w="28575" cap="rnd">
              <a:solidFill>
                <a:schemeClr val="tx1"/>
              </a:solidFill>
              <a:prstDash val="sysDot"/>
              <a:round/>
            </a:ln>
            <a:effectLst/>
          </c:spPr>
          <c:marker>
            <c:symbol val="none"/>
          </c:marker>
          <c:dLbls>
            <c:delete val="1"/>
          </c:dLbls>
          <c:xVal>
            <c:numRef>
              <c:f>图4!$H$3:$H$5</c:f>
              <c:numCache>
                <c:formatCode>General</c:formatCode>
                <c:ptCount val="3"/>
                <c:pt idx="0">
                  <c:v>5</c:v>
                </c:pt>
                <c:pt idx="1">
                  <c:v>30</c:v>
                </c:pt>
                <c:pt idx="2">
                  <c:v>200</c:v>
                </c:pt>
              </c:numCache>
            </c:numRef>
          </c:xVal>
          <c:yVal>
            <c:numRef>
              <c:f>图4!$I$3:$I$5</c:f>
              <c:numCache>
                <c:formatCode>General</c:formatCode>
                <c:ptCount val="3"/>
                <c:pt idx="0">
                  <c:v>0.006</c:v>
                </c:pt>
                <c:pt idx="1">
                  <c:v>0.006</c:v>
                </c:pt>
                <c:pt idx="2">
                  <c:v>3e-5</c:v>
                </c:pt>
              </c:numCache>
            </c:numRef>
          </c:yVal>
          <c:smooth val="0"/>
        </c:ser>
        <c:dLbls>
          <c:showLegendKey val="0"/>
          <c:showVal val="0"/>
          <c:showCatName val="0"/>
          <c:showSerName val="0"/>
          <c:showPercent val="0"/>
          <c:showBubbleSize val="0"/>
        </c:dLbls>
        <c:axId val="186558800"/>
        <c:axId val="186555440"/>
      </c:scatterChart>
      <c:valAx>
        <c:axId val="186558800"/>
        <c:scaling>
          <c:logBase val="10"/>
          <c:orientation val="minMax"/>
        </c:scaling>
        <c:delete val="0"/>
        <c:axPos val="b"/>
        <c:majorGridlines>
          <c:spPr>
            <a:ln w="9525" cap="flat" cmpd="sng" algn="ctr">
              <a:solidFill>
                <a:schemeClr val="bg1">
                  <a:lumMod val="50000"/>
                </a:schemeClr>
              </a:solidFill>
              <a:round/>
            </a:ln>
            <a:effectLst/>
          </c:spPr>
        </c:majorGridlines>
        <c:minorGridlines>
          <c:spPr>
            <a:ln w="9525" cap="flat" cmpd="sng" algn="ctr">
              <a:solidFill>
                <a:schemeClr val="bg1">
                  <a:lumMod val="50000"/>
                </a:schemeClr>
              </a:solidFill>
              <a:round/>
            </a:ln>
            <a:effectLst/>
          </c:spPr>
        </c:minorGridlines>
        <c:title>
          <c:tx>
            <c:rich>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j-ea"/>
                    <a:cs typeface="Times New Roman" panose="02020603050405020304" charset="0"/>
                  </a:defRPr>
                </a:pPr>
                <a:r>
                  <a:rPr lang="zh-CN">
                    <a:latin typeface="Times New Roman" panose="02020603050405020304" charset="0"/>
                    <a:cs typeface="Times New Roman" panose="02020603050405020304" charset="0"/>
                  </a:rPr>
                  <a:t>频率</a:t>
                </a:r>
                <a:r>
                  <a:rPr lang="en-US">
                    <a:latin typeface="Times New Roman" panose="02020603050405020304" charset="0"/>
                    <a:cs typeface="Times New Roman" panose="02020603050405020304" charset="0"/>
                  </a:rPr>
                  <a:t>/Hz</a:t>
                </a:r>
                <a:endParaRPr lang="zh-CN">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j-ea"/>
                <a:ea typeface="+mj-ea"/>
                <a:cs typeface="+mn-cs"/>
              </a:defRPr>
            </a:pPr>
          </a:p>
        </c:txPr>
        <c:crossAx val="186555440"/>
        <c:crossesAt val="1e-5"/>
        <c:crossBetween val="midCat"/>
      </c:valAx>
      <c:valAx>
        <c:axId val="186555440"/>
        <c:scaling>
          <c:logBase val="10"/>
          <c:orientation val="minMax"/>
          <c:max val="0.1"/>
        </c:scaling>
        <c:delete val="0"/>
        <c:axPos val="l"/>
        <c:majorGridlines>
          <c:spPr>
            <a:ln w="9525" cap="flat" cmpd="sng" algn="ctr">
              <a:solidFill>
                <a:schemeClr val="bg1">
                  <a:lumMod val="50000"/>
                </a:schemeClr>
              </a:solidFill>
              <a:round/>
            </a:ln>
            <a:effectLst/>
          </c:spPr>
        </c:majorGridlines>
        <c:minorGridlines>
          <c:spPr>
            <a:ln w="9525" cap="flat" cmpd="sng" algn="ctr">
              <a:solidFill>
                <a:schemeClr val="bg1">
                  <a:lumMod val="50000"/>
                </a:schemeClr>
              </a:solidFill>
              <a:round/>
            </a:ln>
            <a:effectLst/>
          </c:spPr>
        </c:minorGridlines>
        <c:title>
          <c:tx>
            <c:rich>
              <a:bodyPr rot="-54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j-ea"/>
                    <a:cs typeface="Times New Roman" panose="02020603050405020304" charset="0"/>
                  </a:defRPr>
                </a:pPr>
                <a:r>
                  <a:rPr lang="zh-CN">
                    <a:latin typeface="Times New Roman" panose="02020603050405020304" charset="0"/>
                    <a:cs typeface="Times New Roman" panose="02020603050405020304" charset="0"/>
                  </a:rPr>
                  <a:t>功率谱密度</a:t>
                </a:r>
                <a:r>
                  <a:rPr lang="en-US">
                    <a:latin typeface="Times New Roman" panose="02020603050405020304" charset="0"/>
                    <a:cs typeface="Times New Roman" panose="02020603050405020304" charset="0"/>
                  </a:rPr>
                  <a:t>/</a:t>
                </a:r>
                <a:r>
                  <a:rPr lang="zh-CN">
                    <a:latin typeface="Times New Roman" panose="02020603050405020304" charset="0"/>
                    <a:cs typeface="Times New Roman" panose="02020603050405020304" charset="0"/>
                  </a:rPr>
                  <a:t>（</a:t>
                </a:r>
                <a:r>
                  <a:rPr lang="en-US">
                    <a:latin typeface="Times New Roman" panose="02020603050405020304" charset="0"/>
                    <a:cs typeface="Times New Roman" panose="02020603050405020304" charset="0"/>
                  </a:rPr>
                  <a:t>g</a:t>
                </a:r>
                <a:r>
                  <a:rPr lang="en-US" baseline="30000">
                    <a:latin typeface="Times New Roman" panose="02020603050405020304" charset="0"/>
                    <a:cs typeface="Times New Roman" panose="02020603050405020304" charset="0"/>
                  </a:rPr>
                  <a:t>2</a:t>
                </a:r>
                <a:r>
                  <a:rPr lang="en-US">
                    <a:latin typeface="Times New Roman" panose="02020603050405020304" charset="0"/>
                    <a:cs typeface="Times New Roman" panose="02020603050405020304" charset="0"/>
                  </a:rPr>
                  <a:t>/Hz</a:t>
                </a:r>
                <a:r>
                  <a:rPr lang="zh-CN">
                    <a:latin typeface="Times New Roman" panose="02020603050405020304" charset="0"/>
                    <a:cs typeface="Times New Roman" panose="02020603050405020304" charset="0"/>
                  </a:rPr>
                  <a:t>）</a:t>
                </a:r>
                <a:endParaRPr lang="zh-CN">
                  <a:latin typeface="Times New Roman" panose="02020603050405020304" charset="0"/>
                  <a:cs typeface="Times New Roman" panose="02020603050405020304" charset="0"/>
                </a:endParaRPr>
              </a:p>
            </c:rich>
          </c:tx>
          <c:layout>
            <c:manualLayout>
              <c:xMode val="edge"/>
              <c:yMode val="edge"/>
              <c:x val="0.0290522875816993"/>
              <c:y val="0.129338271604938"/>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j-ea"/>
                <a:ea typeface="+mj-ea"/>
                <a:cs typeface="+mn-cs"/>
              </a:defRPr>
            </a:pPr>
          </a:p>
        </c:txPr>
        <c:crossAx val="186558800"/>
        <c:crosses val="autoZero"/>
        <c:crossBetween val="midCat"/>
      </c:valAx>
      <c:spPr>
        <a:noFill/>
        <a:ln>
          <a:solidFill>
            <a:schemeClr val="tx1"/>
          </a:solidFill>
        </a:ln>
        <a:effectLst/>
      </c:spPr>
    </c:plotArea>
    <c:legend>
      <c:legendPos val="r"/>
      <c:layout>
        <c:manualLayout>
          <c:xMode val="edge"/>
          <c:yMode val="edge"/>
          <c:x val="0.74811104432985"/>
          <c:y val="0.0984542892162707"/>
          <c:w val="0.170242961112607"/>
          <c:h val="0.258222530864198"/>
        </c:manualLayout>
      </c:layout>
      <c:overlay val="1"/>
      <c:spPr>
        <a:solidFill>
          <a:schemeClr val="bg1"/>
        </a:solid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j-ea"/>
              <a:ea typeface="+mj-ea"/>
              <a:cs typeface="+mn-cs"/>
            </a:defRPr>
          </a:pPr>
        </a:p>
      </c:txPr>
    </c:legend>
    <c:plotVisOnly val="1"/>
    <c:dispBlanksAs val="gap"/>
    <c:showDLblsOverMax val="0"/>
  </c:chart>
  <c:spPr>
    <a:solidFill>
      <a:schemeClr val="bg1"/>
    </a:solidFill>
    <a:ln w="6350" cap="flat" cmpd="sng" algn="ctr">
      <a:solidFill>
        <a:schemeClr val="tx1"/>
      </a:solidFill>
      <a:round/>
    </a:ln>
    <a:effectLst/>
  </c:spPr>
  <c:txPr>
    <a:bodyPr/>
    <a:lstStyle/>
    <a:p>
      <a:pPr>
        <a:defRPr lang="zh-CN" sz="900" b="0">
          <a:solidFill>
            <a:schemeClr val="tx1"/>
          </a:solidFill>
          <a:latin typeface="+mj-ea"/>
          <a:ea typeface="+mj-ea"/>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15A7F-7CA9-474F-9A42-AD88E043D46E}">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37</Pages>
  <Words>3616</Words>
  <Characters>20614</Characters>
  <Lines>171</Lines>
  <Paragraphs>48</Paragraphs>
  <TotalTime>32</TotalTime>
  <ScaleCrop>false</ScaleCrop>
  <LinksUpToDate>false</LinksUpToDate>
  <CharactersWithSpaces>24182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2024-04-16T09:53:00Z</dcterms:created>
  <dc:creator>_Chen XiaoBo</dc:creator>
  <cp:lastModifiedBy>63244</cp:lastModifiedBy>
  <cp:lastPrinted>2024-04-11T05:35:00Z</cp:lastPrinted>
  <dcterms:modified xsi:type="dcterms:W3CDTF">2024-04-16T13:54:49Z</dcterms:modified>
  <dc:title>标准名称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362DDCB8C768451298F89CFF9DCABFC5</vt:lpwstr>
  </property>
</Properties>
</file>