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pPr>
      <w:bookmarkStart w:id="0" w:name="_Hlk64896309"/>
    </w:p>
    <w:p>
      <w:pPr>
        <w:pStyle w:val="16"/>
        <w:tabs>
          <w:tab w:val="left" w:pos="2742"/>
        </w:tabs>
        <w:spacing w:line="480" w:lineRule="auto"/>
        <w:rPr>
          <w:sz w:val="44"/>
          <w:szCs w:val="44"/>
        </w:rPr>
      </w:pPr>
      <w:r>
        <w:rPr>
          <w:sz w:val="44"/>
          <w:szCs w:val="44"/>
        </w:rPr>
        <w:tab/>
      </w:r>
    </w:p>
    <w:p>
      <w:pPr>
        <w:pStyle w:val="16"/>
        <w:tabs>
          <w:tab w:val="left" w:pos="2742"/>
        </w:tabs>
        <w:spacing w:line="480" w:lineRule="auto"/>
        <w:rPr>
          <w:sz w:val="44"/>
          <w:szCs w:val="44"/>
        </w:rPr>
      </w:pPr>
    </w:p>
    <w:p>
      <w:pPr>
        <w:pStyle w:val="16"/>
        <w:spacing w:line="480" w:lineRule="auto"/>
        <w:rPr>
          <w:sz w:val="44"/>
          <w:szCs w:val="44"/>
        </w:rPr>
      </w:pPr>
    </w:p>
    <w:p>
      <w:pPr>
        <w:pStyle w:val="16"/>
        <w:spacing w:line="480" w:lineRule="auto"/>
        <w:jc w:val="center"/>
        <w:rPr>
          <w:rFonts w:ascii="黑体" w:hAnsi="黑体" w:eastAsia="黑体"/>
          <w:sz w:val="52"/>
          <w:szCs w:val="52"/>
        </w:rPr>
      </w:pPr>
      <w:r>
        <w:rPr>
          <w:rFonts w:hint="eastAsia" w:ascii="黑体" w:hAnsi="黑体" w:eastAsia="黑体"/>
          <w:sz w:val="52"/>
          <w:szCs w:val="52"/>
        </w:rPr>
        <w:t>强制性国家标准</w:t>
      </w:r>
    </w:p>
    <w:p>
      <w:pPr>
        <w:pStyle w:val="16"/>
        <w:spacing w:line="480" w:lineRule="auto"/>
        <w:jc w:val="center"/>
        <w:rPr>
          <w:rFonts w:ascii="黑体" w:hAnsi="黑体" w:eastAsia="黑体"/>
          <w:sz w:val="52"/>
          <w:szCs w:val="52"/>
        </w:rPr>
      </w:pPr>
      <w:r>
        <w:rPr>
          <w:rFonts w:hint="eastAsia" w:ascii="黑体" w:hAnsi="黑体" w:eastAsia="黑体"/>
          <w:sz w:val="52"/>
          <w:szCs w:val="52"/>
        </w:rPr>
        <w:t>《电动汽车用动力蓄电池安全要求》</w:t>
      </w:r>
    </w:p>
    <w:p>
      <w:pPr>
        <w:pStyle w:val="16"/>
        <w:jc w:val="center"/>
        <w:rPr>
          <w:rFonts w:ascii="黑体" w:hAnsi="黑体" w:eastAsia="黑体"/>
          <w:sz w:val="32"/>
          <w:szCs w:val="32"/>
        </w:rPr>
      </w:pPr>
      <w:r>
        <w:rPr>
          <w:rFonts w:hint="eastAsia" w:ascii="黑体" w:hAnsi="黑体" w:eastAsia="黑体"/>
          <w:sz w:val="32"/>
          <w:szCs w:val="32"/>
        </w:rPr>
        <w:t>（征求意见稿）</w:t>
      </w:r>
    </w:p>
    <w:p>
      <w:pPr>
        <w:pStyle w:val="16"/>
        <w:jc w:val="center"/>
        <w:rPr>
          <w:sz w:val="52"/>
          <w:szCs w:val="52"/>
        </w:rPr>
      </w:pPr>
      <w:r>
        <w:rPr>
          <w:rFonts w:hint="eastAsia" w:ascii="黑体" w:hAnsi="黑体" w:eastAsia="黑体"/>
          <w:sz w:val="52"/>
          <w:szCs w:val="52"/>
        </w:rPr>
        <w:t>编制说明</w:t>
      </w:r>
    </w:p>
    <w:p>
      <w:pPr>
        <w:pStyle w:val="16"/>
        <w:rPr>
          <w:sz w:val="52"/>
          <w:szCs w:val="52"/>
        </w:rPr>
      </w:pPr>
    </w:p>
    <w:p>
      <w:pPr>
        <w:pStyle w:val="16"/>
        <w:rPr>
          <w:sz w:val="52"/>
          <w:szCs w:val="52"/>
        </w:rPr>
      </w:pPr>
    </w:p>
    <w:p>
      <w:pPr>
        <w:pStyle w:val="16"/>
        <w:rPr>
          <w:sz w:val="52"/>
          <w:szCs w:val="52"/>
        </w:rPr>
      </w:pPr>
    </w:p>
    <w:p>
      <w:pPr>
        <w:pStyle w:val="16"/>
        <w:rPr>
          <w:sz w:val="52"/>
          <w:szCs w:val="52"/>
        </w:rPr>
      </w:pPr>
    </w:p>
    <w:p>
      <w:pPr>
        <w:pStyle w:val="16"/>
        <w:rPr>
          <w:sz w:val="52"/>
          <w:szCs w:val="52"/>
        </w:rPr>
      </w:pPr>
    </w:p>
    <w:p>
      <w:pPr>
        <w:rPr>
          <w:rFonts w:ascii="宋体" w:hAnsi="宋体"/>
          <w:sz w:val="28"/>
          <w:szCs w:val="28"/>
        </w:rPr>
      </w:pPr>
    </w:p>
    <w:p>
      <w:pPr>
        <w:rPr>
          <w:rFonts w:ascii="宋体" w:hAnsi="宋体"/>
          <w:sz w:val="28"/>
          <w:szCs w:val="28"/>
        </w:rPr>
      </w:pPr>
    </w:p>
    <w:p>
      <w:pPr>
        <w:pStyle w:val="16"/>
        <w:jc w:val="center"/>
        <w:outlineLvl w:val="0"/>
        <w:rPr>
          <w:rFonts w:ascii="Times New Roman" w:cs="Times New Roman"/>
          <w:bCs/>
          <w:sz w:val="28"/>
          <w:szCs w:val="28"/>
        </w:rPr>
      </w:pPr>
      <w:bookmarkStart w:id="1" w:name="_Toc6563"/>
      <w:bookmarkStart w:id="2" w:name="_Toc4474"/>
      <w:bookmarkStart w:id="3" w:name="_Toc36212234"/>
      <w:bookmarkStart w:id="4" w:name="_Toc64898470"/>
      <w:bookmarkStart w:id="5" w:name="_Toc1833"/>
    </w:p>
    <w:p>
      <w:pPr>
        <w:pStyle w:val="16"/>
        <w:jc w:val="center"/>
        <w:outlineLvl w:val="0"/>
        <w:rPr>
          <w:rFonts w:ascii="Times New Roman" w:cs="Times New Roman"/>
          <w:bCs/>
          <w:sz w:val="28"/>
          <w:szCs w:val="28"/>
        </w:rPr>
      </w:pPr>
      <w:r>
        <w:rPr>
          <w:rFonts w:ascii="Times New Roman" w:cs="Times New Roman"/>
          <w:bCs/>
          <w:sz w:val="28"/>
          <w:szCs w:val="28"/>
        </w:rPr>
        <w:t>2024年4月</w:t>
      </w:r>
      <w:bookmarkEnd w:id="1"/>
      <w:bookmarkEnd w:id="2"/>
      <w:bookmarkEnd w:id="3"/>
      <w:bookmarkEnd w:id="4"/>
      <w:bookmarkEnd w:id="5"/>
      <w:bookmarkStart w:id="6" w:name="_Toc4065"/>
      <w:bookmarkStart w:id="7" w:name="_Toc12015"/>
      <w:bookmarkStart w:id="8" w:name="_Toc29559"/>
      <w:bookmarkStart w:id="9" w:name="_Toc28374"/>
      <w:bookmarkStart w:id="10" w:name="_Toc30310"/>
      <w:bookmarkStart w:id="11" w:name="_Toc36212235"/>
      <w:bookmarkStart w:id="12" w:name="_Toc28417"/>
    </w:p>
    <w:bookmarkEnd w:id="0"/>
    <w:p>
      <w:pPr>
        <w:pStyle w:val="16"/>
        <w:jc w:val="center"/>
        <w:outlineLvl w:val="0"/>
        <w:rPr>
          <w:rFonts w:ascii="Times New Roman" w:cs="Times New Roman"/>
          <w:bCs/>
          <w:sz w:val="28"/>
          <w:szCs w:val="28"/>
        </w:rPr>
      </w:pPr>
    </w:p>
    <w:p>
      <w:pPr>
        <w:pStyle w:val="16"/>
        <w:jc w:val="center"/>
        <w:outlineLvl w:val="0"/>
        <w:rPr>
          <w:rFonts w:ascii="黑体" w:hAnsi="黑体" w:eastAsia="黑体"/>
        </w:rPr>
      </w:pPr>
    </w:p>
    <w:p>
      <w:pPr>
        <w:pStyle w:val="16"/>
        <w:spacing w:before="156" w:beforeLines="50" w:after="156" w:afterLines="50"/>
        <w:jc w:val="center"/>
        <w:outlineLvl w:val="0"/>
      </w:pPr>
      <w:bookmarkStart w:id="13" w:name="_Toc64898471"/>
      <w:bookmarkStart w:id="14" w:name="_Hlk64896338"/>
      <w:r>
        <w:rPr>
          <w:rFonts w:hint="eastAsia" w:ascii="黑体" w:hAnsi="黑体" w:eastAsia="黑体"/>
          <w:sz w:val="28"/>
          <w:szCs w:val="28"/>
        </w:rPr>
        <w:t>目</w:t>
      </w:r>
      <w:bookmarkStart w:id="15" w:name="BKML"/>
      <w:r>
        <w:rPr>
          <w:rFonts w:ascii="黑体" w:hAnsi="黑体" w:eastAsia="黑体"/>
          <w:sz w:val="28"/>
          <w:szCs w:val="28"/>
        </w:rPr>
        <w:t xml:space="preserve">  </w:t>
      </w:r>
      <w:r>
        <w:rPr>
          <w:rFonts w:hint="eastAsia" w:ascii="黑体" w:hAnsi="黑体" w:eastAsia="黑体"/>
          <w:sz w:val="28"/>
          <w:szCs w:val="28"/>
        </w:rPr>
        <w:t>次</w:t>
      </w:r>
      <w:bookmarkEnd w:id="6"/>
      <w:bookmarkEnd w:id="7"/>
      <w:bookmarkEnd w:id="8"/>
      <w:bookmarkEnd w:id="13"/>
      <w:bookmarkEnd w:id="15"/>
      <w:r>
        <w:fldChar w:fldCharType="begin"/>
      </w:r>
      <w:r>
        <w:instrText xml:space="preserve">TOC \o "1-2" \h \u </w:instrText>
      </w:r>
      <w:r>
        <w:fldChar w:fldCharType="separate"/>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"_Toc64898475" </w:instrText>
      </w:r>
      <w:r>
        <w:fldChar w:fldCharType="separate"/>
      </w:r>
      <w:r>
        <w:rPr>
          <w:rFonts w:eastAsia="黑体"/>
          <w:bCs/>
          <w:szCs w:val="21"/>
        </w:rPr>
        <w:t>一、工作简况</w:t>
      </w:r>
      <w:r>
        <w:rPr>
          <w:rFonts w:eastAsia="黑体"/>
          <w:bCs/>
          <w:szCs w:val="21"/>
        </w:rPr>
        <w:tab/>
      </w:r>
      <w:r>
        <w:rPr>
          <w:rFonts w:eastAsia="黑体"/>
          <w:bCs/>
          <w:szCs w:val="21"/>
        </w:rPr>
        <w:fldChar w:fldCharType="begin"/>
      </w:r>
      <w:r>
        <w:rPr>
          <w:rFonts w:eastAsia="黑体"/>
          <w:bCs/>
          <w:szCs w:val="21"/>
        </w:rPr>
        <w:instrText xml:space="preserve"> PAGEREF _Toc64898475 \h </w:instrText>
      </w:r>
      <w:r>
        <w:rPr>
          <w:rFonts w:eastAsia="黑体"/>
          <w:bCs/>
          <w:szCs w:val="21"/>
        </w:rPr>
        <w:fldChar w:fldCharType="separate"/>
      </w:r>
      <w:r>
        <w:rPr>
          <w:rFonts w:eastAsia="黑体"/>
          <w:bCs/>
          <w:szCs w:val="21"/>
        </w:rPr>
        <w:t>1</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"_Toc64898476" </w:instrText>
      </w:r>
      <w:r>
        <w:fldChar w:fldCharType="separate"/>
      </w:r>
      <w:r>
        <w:rPr>
          <w:rFonts w:eastAsia="黑体"/>
          <w:bCs/>
          <w:szCs w:val="21"/>
        </w:rPr>
        <w:t>二、编制原则、强制性国家标准主要技术要求的依据及理由</w:t>
      </w:r>
      <w:r>
        <w:rPr>
          <w:rFonts w:eastAsia="黑体"/>
          <w:bCs/>
          <w:szCs w:val="21"/>
        </w:rPr>
        <w:tab/>
      </w:r>
      <w:r>
        <w:rPr>
          <w:rFonts w:eastAsia="黑体"/>
          <w:bCs/>
          <w:szCs w:val="21"/>
        </w:rPr>
        <w:fldChar w:fldCharType="begin"/>
      </w:r>
      <w:r>
        <w:rPr>
          <w:rFonts w:eastAsia="黑体"/>
          <w:bCs/>
          <w:szCs w:val="21"/>
        </w:rPr>
        <w:instrText xml:space="preserve"> PAGEREF _Toc64898476 \h </w:instrText>
      </w:r>
      <w:r>
        <w:rPr>
          <w:rFonts w:eastAsia="黑体"/>
          <w:bCs/>
          <w:szCs w:val="21"/>
        </w:rPr>
        <w:fldChar w:fldCharType="separate"/>
      </w:r>
      <w:r>
        <w:rPr>
          <w:rFonts w:eastAsia="黑体"/>
          <w:bCs/>
          <w:szCs w:val="21"/>
        </w:rPr>
        <w:t>3</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"_Toc64898477" </w:instrText>
      </w:r>
      <w:r>
        <w:fldChar w:fldCharType="separate"/>
      </w:r>
      <w:r>
        <w:rPr>
          <w:rFonts w:eastAsia="黑体"/>
          <w:bCs/>
          <w:szCs w:val="21"/>
        </w:rPr>
        <w:t>三、与有关法律、行政法规和其他标准的关系</w:t>
      </w:r>
      <w:r>
        <w:rPr>
          <w:rFonts w:eastAsia="黑体"/>
          <w:bCs/>
          <w:szCs w:val="21"/>
        </w:rPr>
        <w:tab/>
      </w:r>
      <w:r>
        <w:rPr>
          <w:rFonts w:eastAsia="黑体"/>
          <w:bCs/>
          <w:szCs w:val="21"/>
        </w:rPr>
        <w:fldChar w:fldCharType="begin"/>
      </w:r>
      <w:r>
        <w:rPr>
          <w:rFonts w:eastAsia="黑体"/>
          <w:bCs/>
          <w:szCs w:val="21"/>
        </w:rPr>
        <w:instrText xml:space="preserve"> PAGEREF _Toc64898477 \h </w:instrText>
      </w:r>
      <w:r>
        <w:rPr>
          <w:rFonts w:eastAsia="黑体"/>
          <w:bCs/>
          <w:szCs w:val="21"/>
        </w:rPr>
        <w:fldChar w:fldCharType="separate"/>
      </w:r>
      <w:r>
        <w:rPr>
          <w:rFonts w:eastAsia="黑体"/>
          <w:bCs/>
          <w:szCs w:val="21"/>
        </w:rPr>
        <w:t>3</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"_Toc64898478" </w:instrText>
      </w:r>
      <w:r>
        <w:fldChar w:fldCharType="separate"/>
      </w:r>
      <w:r>
        <w:rPr>
          <w:rFonts w:eastAsia="黑体"/>
          <w:bCs/>
          <w:szCs w:val="21"/>
        </w:rPr>
        <w:t>四、与国际标准化组织、其他国家或者地区有关法律法规和标准的比对分析</w:t>
      </w:r>
      <w:r>
        <w:rPr>
          <w:rFonts w:eastAsia="黑体"/>
          <w:bCs/>
          <w:szCs w:val="21"/>
        </w:rPr>
        <w:tab/>
      </w:r>
      <w:r>
        <w:rPr>
          <w:rFonts w:eastAsia="黑体"/>
          <w:bCs/>
          <w:szCs w:val="21"/>
        </w:rPr>
        <w:fldChar w:fldCharType="begin"/>
      </w:r>
      <w:r>
        <w:rPr>
          <w:rFonts w:eastAsia="黑体"/>
          <w:bCs/>
          <w:szCs w:val="21"/>
        </w:rPr>
        <w:instrText xml:space="preserve"> PAGEREF _Toc64898478 \h </w:instrText>
      </w:r>
      <w:r>
        <w:rPr>
          <w:rFonts w:eastAsia="黑体"/>
          <w:bCs/>
          <w:szCs w:val="21"/>
        </w:rPr>
        <w:fldChar w:fldCharType="separate"/>
      </w:r>
      <w:r>
        <w:rPr>
          <w:rFonts w:eastAsia="黑体"/>
          <w:bCs/>
          <w:szCs w:val="21"/>
        </w:rPr>
        <w:t>13</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"_Toc64898479" </w:instrText>
      </w:r>
      <w:r>
        <w:fldChar w:fldCharType="separate"/>
      </w:r>
      <w:r>
        <w:rPr>
          <w:rFonts w:eastAsia="黑体"/>
          <w:bCs/>
          <w:szCs w:val="21"/>
        </w:rPr>
        <w:t>五、重大分歧意见的处理过程、处理意见及其依据</w:t>
      </w:r>
      <w:r>
        <w:rPr>
          <w:rFonts w:eastAsia="黑体"/>
          <w:bCs/>
          <w:szCs w:val="21"/>
        </w:rPr>
        <w:tab/>
      </w:r>
      <w:r>
        <w:rPr>
          <w:rFonts w:eastAsia="黑体"/>
          <w:bCs/>
          <w:szCs w:val="21"/>
        </w:rPr>
        <w:fldChar w:fldCharType="begin"/>
      </w:r>
      <w:r>
        <w:rPr>
          <w:rFonts w:eastAsia="黑体"/>
          <w:bCs/>
          <w:szCs w:val="21"/>
        </w:rPr>
        <w:instrText xml:space="preserve"> PAGEREF _Toc64898479 \h </w:instrText>
      </w:r>
      <w:r>
        <w:rPr>
          <w:rFonts w:eastAsia="黑体"/>
          <w:bCs/>
          <w:szCs w:val="21"/>
        </w:rPr>
        <w:fldChar w:fldCharType="separate"/>
      </w:r>
      <w:r>
        <w:rPr>
          <w:rFonts w:eastAsia="黑体"/>
          <w:bCs/>
          <w:szCs w:val="21"/>
        </w:rPr>
        <w:t>38</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"_Toc64898480" </w:instrText>
      </w:r>
      <w:r>
        <w:fldChar w:fldCharType="separate"/>
      </w:r>
      <w:r>
        <w:rPr>
          <w:rFonts w:eastAsia="黑体"/>
          <w:bCs/>
          <w:szCs w:val="21"/>
        </w:rPr>
        <w:t>六、对强制性国家标准自发布日期至实施日期之间的过渡期的建议及理由</w:t>
      </w:r>
      <w:r>
        <w:rPr>
          <w:rFonts w:eastAsia="黑体"/>
          <w:bCs/>
          <w:szCs w:val="21"/>
        </w:rPr>
        <w:tab/>
      </w:r>
      <w:r>
        <w:rPr>
          <w:rFonts w:eastAsia="黑体"/>
          <w:bCs/>
          <w:szCs w:val="21"/>
        </w:rPr>
        <w:fldChar w:fldCharType="begin"/>
      </w:r>
      <w:r>
        <w:rPr>
          <w:rFonts w:eastAsia="黑体"/>
          <w:bCs/>
          <w:szCs w:val="21"/>
        </w:rPr>
        <w:instrText xml:space="preserve"> PAGEREF _Toc64898480 \h </w:instrText>
      </w:r>
      <w:r>
        <w:rPr>
          <w:rFonts w:eastAsia="黑体"/>
          <w:bCs/>
          <w:szCs w:val="21"/>
        </w:rPr>
        <w:fldChar w:fldCharType="separate"/>
      </w:r>
      <w:r>
        <w:rPr>
          <w:rFonts w:eastAsia="黑体"/>
          <w:bCs/>
          <w:szCs w:val="21"/>
        </w:rPr>
        <w:t>39</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"_Toc64898481" </w:instrText>
      </w:r>
      <w:r>
        <w:fldChar w:fldCharType="separate"/>
      </w:r>
      <w:r>
        <w:rPr>
          <w:rFonts w:eastAsia="黑体"/>
          <w:bCs/>
          <w:szCs w:val="21"/>
        </w:rPr>
        <w:t>七、与实施强制性国家标准有关的政策措施</w:t>
      </w:r>
      <w:r>
        <w:rPr>
          <w:rFonts w:eastAsia="黑体"/>
          <w:bCs/>
          <w:szCs w:val="21"/>
        </w:rPr>
        <w:tab/>
      </w:r>
      <w:r>
        <w:rPr>
          <w:rFonts w:eastAsia="黑体"/>
          <w:bCs/>
          <w:szCs w:val="21"/>
        </w:rPr>
        <w:fldChar w:fldCharType="begin"/>
      </w:r>
      <w:r>
        <w:rPr>
          <w:rFonts w:eastAsia="黑体"/>
          <w:bCs/>
          <w:szCs w:val="21"/>
        </w:rPr>
        <w:instrText xml:space="preserve"> PAGEREF _Toc64898481 \h </w:instrText>
      </w:r>
      <w:r>
        <w:rPr>
          <w:rFonts w:eastAsia="黑体"/>
          <w:bCs/>
          <w:szCs w:val="21"/>
        </w:rPr>
        <w:fldChar w:fldCharType="separate"/>
      </w:r>
      <w:r>
        <w:rPr>
          <w:rFonts w:eastAsia="黑体"/>
          <w:bCs/>
          <w:szCs w:val="21"/>
        </w:rPr>
        <w:t>39</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"_Toc64898482" </w:instrText>
      </w:r>
      <w:r>
        <w:fldChar w:fldCharType="separate"/>
      </w:r>
      <w:r>
        <w:rPr>
          <w:rFonts w:eastAsia="黑体"/>
          <w:bCs/>
          <w:szCs w:val="21"/>
        </w:rPr>
        <w:t>八、是否需要对外通报的建议及理由</w:t>
      </w:r>
      <w:r>
        <w:rPr>
          <w:rFonts w:eastAsia="黑体"/>
          <w:bCs/>
          <w:szCs w:val="21"/>
        </w:rPr>
        <w:tab/>
      </w:r>
      <w:r>
        <w:rPr>
          <w:rFonts w:eastAsia="黑体"/>
          <w:bCs/>
          <w:szCs w:val="21"/>
        </w:rPr>
        <w:fldChar w:fldCharType="begin"/>
      </w:r>
      <w:r>
        <w:rPr>
          <w:rFonts w:eastAsia="黑体"/>
          <w:bCs/>
          <w:szCs w:val="21"/>
        </w:rPr>
        <w:instrText xml:space="preserve"> PAGEREF _Toc64898482 \h </w:instrText>
      </w:r>
      <w:r>
        <w:rPr>
          <w:rFonts w:eastAsia="黑体"/>
          <w:bCs/>
          <w:szCs w:val="21"/>
        </w:rPr>
        <w:fldChar w:fldCharType="separate"/>
      </w:r>
      <w:r>
        <w:rPr>
          <w:rFonts w:eastAsia="黑体"/>
          <w:bCs/>
          <w:szCs w:val="21"/>
        </w:rPr>
        <w:t>39</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"_Toc64898483" </w:instrText>
      </w:r>
      <w:r>
        <w:fldChar w:fldCharType="separate"/>
      </w:r>
      <w:r>
        <w:rPr>
          <w:rFonts w:eastAsia="黑体"/>
          <w:bCs/>
          <w:szCs w:val="21"/>
        </w:rPr>
        <w:t>九、废止现行有关标准的建议</w:t>
      </w:r>
      <w:r>
        <w:rPr>
          <w:rFonts w:eastAsia="黑体"/>
          <w:bCs/>
          <w:szCs w:val="21"/>
        </w:rPr>
        <w:tab/>
      </w:r>
      <w:r>
        <w:rPr>
          <w:rFonts w:eastAsia="黑体"/>
          <w:bCs/>
          <w:szCs w:val="21"/>
        </w:rPr>
        <w:fldChar w:fldCharType="begin"/>
      </w:r>
      <w:r>
        <w:rPr>
          <w:rFonts w:eastAsia="黑体"/>
          <w:bCs/>
          <w:szCs w:val="21"/>
        </w:rPr>
        <w:instrText xml:space="preserve"> PAGEREF _Toc64898483 \h </w:instrText>
      </w:r>
      <w:r>
        <w:rPr>
          <w:rFonts w:eastAsia="黑体"/>
          <w:bCs/>
          <w:szCs w:val="21"/>
        </w:rPr>
        <w:fldChar w:fldCharType="separate"/>
      </w:r>
      <w:r>
        <w:rPr>
          <w:rFonts w:eastAsia="黑体"/>
          <w:bCs/>
          <w:szCs w:val="21"/>
        </w:rPr>
        <w:t>39</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"_Toc64898484" </w:instrText>
      </w:r>
      <w:r>
        <w:fldChar w:fldCharType="separate"/>
      </w:r>
      <w:r>
        <w:rPr>
          <w:rFonts w:eastAsia="黑体"/>
          <w:bCs/>
          <w:szCs w:val="21"/>
        </w:rPr>
        <w:t>十、涉及专利的有关说明</w:t>
      </w:r>
      <w:r>
        <w:rPr>
          <w:rFonts w:eastAsia="黑体"/>
          <w:bCs/>
          <w:szCs w:val="21"/>
        </w:rPr>
        <w:tab/>
      </w:r>
      <w:r>
        <w:rPr>
          <w:rFonts w:eastAsia="黑体"/>
          <w:bCs/>
          <w:szCs w:val="21"/>
        </w:rPr>
        <w:fldChar w:fldCharType="begin"/>
      </w:r>
      <w:r>
        <w:rPr>
          <w:rFonts w:eastAsia="黑体"/>
          <w:bCs/>
          <w:szCs w:val="21"/>
        </w:rPr>
        <w:instrText xml:space="preserve"> PAGEREF _Toc64898484 \h </w:instrText>
      </w:r>
      <w:r>
        <w:rPr>
          <w:rFonts w:eastAsia="黑体"/>
          <w:bCs/>
          <w:szCs w:val="21"/>
        </w:rPr>
        <w:fldChar w:fldCharType="separate"/>
      </w:r>
      <w:r>
        <w:rPr>
          <w:rFonts w:eastAsia="黑体"/>
          <w:bCs/>
          <w:szCs w:val="21"/>
        </w:rPr>
        <w:t>39</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"_Toc64898485" </w:instrText>
      </w:r>
      <w:r>
        <w:fldChar w:fldCharType="separate"/>
      </w:r>
      <w:r>
        <w:rPr>
          <w:rFonts w:eastAsia="黑体"/>
          <w:bCs/>
          <w:szCs w:val="21"/>
        </w:rPr>
        <w:t>十一、强制性国家标准所涉及的产品、过程或者服务目录</w:t>
      </w:r>
      <w:r>
        <w:rPr>
          <w:rFonts w:eastAsia="黑体"/>
          <w:bCs/>
          <w:szCs w:val="21"/>
        </w:rPr>
        <w:tab/>
      </w:r>
      <w:r>
        <w:rPr>
          <w:rFonts w:eastAsia="黑体"/>
          <w:bCs/>
          <w:szCs w:val="21"/>
        </w:rPr>
        <w:fldChar w:fldCharType="begin"/>
      </w:r>
      <w:r>
        <w:rPr>
          <w:rFonts w:eastAsia="黑体"/>
          <w:bCs/>
          <w:szCs w:val="21"/>
        </w:rPr>
        <w:instrText xml:space="preserve"> PAGEREF _Toc64898485 \h </w:instrText>
      </w:r>
      <w:r>
        <w:rPr>
          <w:rFonts w:eastAsia="黑体"/>
          <w:bCs/>
          <w:szCs w:val="21"/>
        </w:rPr>
        <w:fldChar w:fldCharType="separate"/>
      </w:r>
      <w:r>
        <w:rPr>
          <w:rFonts w:eastAsia="黑体"/>
          <w:bCs/>
          <w:szCs w:val="21"/>
        </w:rPr>
        <w:t>39</w:t>
      </w:r>
      <w:r>
        <w:rPr>
          <w:rFonts w:eastAsia="黑体"/>
          <w:bCs/>
          <w:szCs w:val="21"/>
        </w:rPr>
        <w:fldChar w:fldCharType="end"/>
      </w:r>
      <w:r>
        <w:rPr>
          <w:rFonts w:eastAsia="黑体"/>
          <w:bCs/>
          <w:szCs w:val="21"/>
        </w:rPr>
        <w:fldChar w:fldCharType="end"/>
      </w:r>
    </w:p>
    <w:p>
      <w:pPr>
        <w:pStyle w:val="7"/>
        <w:tabs>
          <w:tab w:val="right" w:leader="dot" w:pos="8296"/>
        </w:tabs>
        <w:spacing w:line="400" w:lineRule="exact"/>
        <w:ind w:firstLine="420"/>
        <w:jc w:val="right"/>
        <w:rPr>
          <w:rFonts w:eastAsia="黑体"/>
          <w:bCs/>
          <w:szCs w:val="21"/>
        </w:rPr>
      </w:pPr>
      <w:r>
        <w:fldChar w:fldCharType="begin"/>
      </w:r>
      <w:r>
        <w:instrText xml:space="preserve"> HYPERLINK \l "_Toc64898486" </w:instrText>
      </w:r>
      <w:r>
        <w:fldChar w:fldCharType="separate"/>
      </w:r>
      <w:r>
        <w:rPr>
          <w:rFonts w:eastAsia="黑体"/>
          <w:bCs/>
          <w:szCs w:val="21"/>
        </w:rPr>
        <w:t>十二、其他应当予以说明的事项</w:t>
      </w:r>
      <w:r>
        <w:rPr>
          <w:rFonts w:eastAsia="黑体"/>
          <w:bCs/>
          <w:szCs w:val="21"/>
        </w:rPr>
        <w:tab/>
      </w:r>
      <w:r>
        <w:rPr>
          <w:rFonts w:eastAsia="黑体"/>
          <w:bCs/>
          <w:szCs w:val="21"/>
        </w:rPr>
        <w:fldChar w:fldCharType="begin"/>
      </w:r>
      <w:r>
        <w:rPr>
          <w:rFonts w:eastAsia="黑体"/>
          <w:bCs/>
          <w:szCs w:val="21"/>
        </w:rPr>
        <w:instrText xml:space="preserve"> PAGEREF _Toc64898486 \h </w:instrText>
      </w:r>
      <w:r>
        <w:rPr>
          <w:rFonts w:eastAsia="黑体"/>
          <w:bCs/>
          <w:szCs w:val="21"/>
        </w:rPr>
        <w:fldChar w:fldCharType="separate"/>
      </w:r>
      <w:r>
        <w:rPr>
          <w:rFonts w:eastAsia="黑体"/>
          <w:bCs/>
          <w:szCs w:val="21"/>
        </w:rPr>
        <w:t>40</w:t>
      </w:r>
      <w:r>
        <w:rPr>
          <w:rFonts w:eastAsia="黑体"/>
          <w:bCs/>
          <w:szCs w:val="21"/>
        </w:rPr>
        <w:fldChar w:fldCharType="end"/>
      </w:r>
      <w:r>
        <w:rPr>
          <w:rFonts w:eastAsia="黑体"/>
          <w:bCs/>
          <w:szCs w:val="21"/>
        </w:rPr>
        <w:fldChar w:fldCharType="end"/>
      </w:r>
    </w:p>
    <w:p>
      <w:pPr>
        <w:autoSpaceDE w:val="0"/>
        <w:autoSpaceDN w:val="0"/>
        <w:adjustRightInd w:val="0"/>
        <w:jc w:val="center"/>
        <w:outlineLvl w:val="0"/>
        <w:rPr>
          <w:rFonts w:ascii="黑体" w:hAnsi="黑体" w:eastAsia="黑体"/>
          <w:color w:val="000000"/>
          <w:kern w:val="0"/>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titlePg/>
          <w:docGrid w:type="lines" w:linePitch="312" w:charSpace="0"/>
        </w:sectPr>
      </w:pPr>
      <w:r>
        <w:fldChar w:fldCharType="end"/>
      </w:r>
      <w:bookmarkEnd w:id="14"/>
    </w:p>
    <w:p>
      <w:pPr>
        <w:autoSpaceDE w:val="0"/>
        <w:autoSpaceDN w:val="0"/>
        <w:adjustRightInd w:val="0"/>
        <w:jc w:val="center"/>
        <w:outlineLvl w:val="0"/>
        <w:rPr>
          <w:rFonts w:ascii="黑体" w:hAnsi="黑体" w:eastAsia="黑体"/>
          <w:color w:val="000000"/>
          <w:kern w:val="0"/>
          <w:sz w:val="32"/>
          <w:szCs w:val="32"/>
        </w:rPr>
      </w:pPr>
      <w:bookmarkStart w:id="16" w:name="_Toc64898472"/>
      <w:r>
        <w:rPr>
          <w:rFonts w:ascii="黑体" w:hAnsi="黑体" w:eastAsia="黑体"/>
          <w:color w:val="000000"/>
          <w:kern w:val="0"/>
          <w:sz w:val="32"/>
          <w:szCs w:val="32"/>
        </w:rPr>
        <w:t>《</w:t>
      </w:r>
      <w:r>
        <w:rPr>
          <w:rFonts w:hint="eastAsia" w:ascii="黑体" w:hAnsi="黑体" w:eastAsia="黑体"/>
          <w:color w:val="000000"/>
          <w:kern w:val="0"/>
          <w:sz w:val="32"/>
          <w:szCs w:val="32"/>
        </w:rPr>
        <w:t>电动汽车用动力蓄电池安全要求</w:t>
      </w:r>
      <w:r>
        <w:rPr>
          <w:rFonts w:ascii="黑体" w:hAnsi="黑体" w:eastAsia="黑体"/>
          <w:color w:val="000000"/>
          <w:kern w:val="0"/>
          <w:sz w:val="32"/>
          <w:szCs w:val="32"/>
        </w:rPr>
        <w:t>》</w:t>
      </w:r>
      <w:bookmarkEnd w:id="9"/>
      <w:bookmarkEnd w:id="10"/>
      <w:bookmarkEnd w:id="11"/>
      <w:bookmarkEnd w:id="12"/>
      <w:bookmarkEnd w:id="16"/>
    </w:p>
    <w:p>
      <w:pPr>
        <w:autoSpaceDE w:val="0"/>
        <w:autoSpaceDN w:val="0"/>
        <w:adjustRightInd w:val="0"/>
        <w:jc w:val="center"/>
        <w:outlineLvl w:val="0"/>
        <w:rPr>
          <w:rFonts w:ascii="黑体" w:hAnsi="黑体" w:eastAsia="黑体"/>
          <w:color w:val="000000"/>
          <w:kern w:val="0"/>
          <w:sz w:val="32"/>
          <w:szCs w:val="32"/>
        </w:rPr>
      </w:pPr>
      <w:bookmarkStart w:id="17" w:name="_Toc64898473"/>
      <w:bookmarkStart w:id="18" w:name="_Toc21854"/>
      <w:bookmarkStart w:id="19" w:name="_Toc4815"/>
      <w:bookmarkStart w:id="20" w:name="_Toc14803"/>
      <w:bookmarkStart w:id="21" w:name="_Toc36212236"/>
      <w:r>
        <w:rPr>
          <w:rFonts w:ascii="黑体" w:hAnsi="黑体" w:eastAsia="黑体"/>
          <w:color w:val="000000"/>
          <w:kern w:val="0"/>
          <w:sz w:val="32"/>
          <w:szCs w:val="32"/>
        </w:rPr>
        <w:t>（</w:t>
      </w:r>
      <w:r>
        <w:rPr>
          <w:rFonts w:hint="eastAsia" w:ascii="黑体" w:hAnsi="黑体" w:eastAsia="黑体"/>
          <w:color w:val="000000"/>
          <w:kern w:val="0"/>
          <w:sz w:val="32"/>
          <w:szCs w:val="32"/>
        </w:rPr>
        <w:t>征求意见稿</w:t>
      </w:r>
      <w:r>
        <w:rPr>
          <w:rFonts w:ascii="黑体" w:hAnsi="黑体" w:eastAsia="黑体"/>
          <w:color w:val="000000"/>
          <w:kern w:val="0"/>
          <w:sz w:val="32"/>
          <w:szCs w:val="32"/>
        </w:rPr>
        <w:t>）</w:t>
      </w:r>
      <w:bookmarkEnd w:id="17"/>
      <w:bookmarkEnd w:id="18"/>
      <w:bookmarkEnd w:id="19"/>
      <w:bookmarkEnd w:id="20"/>
      <w:bookmarkEnd w:id="21"/>
    </w:p>
    <w:p>
      <w:pPr>
        <w:autoSpaceDE w:val="0"/>
        <w:autoSpaceDN w:val="0"/>
        <w:adjustRightInd w:val="0"/>
        <w:jc w:val="center"/>
        <w:outlineLvl w:val="0"/>
        <w:rPr>
          <w:rFonts w:ascii="黑体" w:hAnsi="黑体" w:eastAsia="黑体" w:cs="宋体"/>
          <w:color w:val="000000"/>
          <w:kern w:val="0"/>
          <w:sz w:val="32"/>
          <w:szCs w:val="32"/>
        </w:rPr>
      </w:pPr>
      <w:bookmarkStart w:id="22" w:name="_Toc30226"/>
      <w:bookmarkStart w:id="23" w:name="_Toc36212237"/>
      <w:bookmarkStart w:id="24" w:name="_Toc8137"/>
      <w:bookmarkStart w:id="25" w:name="_Toc64898474"/>
      <w:bookmarkStart w:id="26" w:name="_Toc31546"/>
      <w:r>
        <w:rPr>
          <w:rFonts w:hint="eastAsia" w:ascii="黑体" w:hAnsi="黑体" w:eastAsia="黑体" w:cs="宋体"/>
          <w:color w:val="000000"/>
          <w:kern w:val="0"/>
          <w:sz w:val="32"/>
          <w:szCs w:val="32"/>
        </w:rPr>
        <w:t>编制说明</w:t>
      </w:r>
      <w:bookmarkEnd w:id="22"/>
      <w:bookmarkEnd w:id="23"/>
      <w:bookmarkEnd w:id="24"/>
      <w:bookmarkEnd w:id="25"/>
      <w:bookmarkEnd w:id="26"/>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27" w:name="_Toc36212238"/>
      <w:bookmarkStart w:id="28" w:name="_Toc64898475"/>
      <w:bookmarkStart w:id="29" w:name="_Toc733"/>
      <w:bookmarkStart w:id="30" w:name="_Toc7124"/>
      <w:bookmarkStart w:id="31" w:name="_Hlk64896381"/>
      <w:r>
        <w:rPr>
          <w:rFonts w:hint="eastAsia" w:ascii="黑体" w:hAnsi="黑体" w:eastAsia="黑体" w:cs="宋体"/>
          <w:bCs/>
          <w:color w:val="000000"/>
          <w:kern w:val="0"/>
          <w:sz w:val="24"/>
        </w:rPr>
        <w:t>工作简况</w:t>
      </w:r>
      <w:bookmarkEnd w:id="27"/>
      <w:bookmarkEnd w:id="28"/>
      <w:bookmarkEnd w:id="29"/>
      <w:bookmarkEnd w:id="30"/>
    </w:p>
    <w:p>
      <w:pPr>
        <w:pStyle w:val="19"/>
        <w:numPr>
          <w:ilvl w:val="0"/>
          <w:numId w:val="2"/>
        </w:numPr>
        <w:spacing w:before="156" w:beforeLines="50" w:after="156" w:afterLines="50" w:line="400" w:lineRule="exact"/>
        <w:outlineLvl w:val="1"/>
        <w:rPr>
          <w:rFonts w:eastAsia="黑体"/>
          <w:szCs w:val="21"/>
        </w:rPr>
      </w:pPr>
      <w:bookmarkStart w:id="32" w:name="_Toc153977122"/>
      <w:bookmarkStart w:id="33" w:name="_Toc155447363"/>
      <w:bookmarkStart w:id="34" w:name="_Toc101966220"/>
      <w:r>
        <w:rPr>
          <w:rFonts w:eastAsia="黑体"/>
          <w:szCs w:val="21"/>
        </w:rPr>
        <w:t>任务来源</w:t>
      </w:r>
      <w:bookmarkEnd w:id="32"/>
      <w:bookmarkEnd w:id="33"/>
      <w:bookmarkEnd w:id="34"/>
    </w:p>
    <w:p>
      <w:pPr>
        <w:spacing w:line="400" w:lineRule="exact"/>
        <w:ind w:firstLine="420"/>
      </w:pPr>
      <w:r>
        <w:t>《</w:t>
      </w:r>
      <w:r>
        <w:rPr>
          <w:rFonts w:hint="eastAsia"/>
        </w:rPr>
        <w:t>电动汽车用动力蓄电池安全要求</w:t>
      </w:r>
      <w:r>
        <w:t>》立项计划由国家标准化管理委员会于2023年12月下达，计划编号为：20231690-Q-339。</w:t>
      </w:r>
    </w:p>
    <w:p>
      <w:pPr>
        <w:pStyle w:val="19"/>
        <w:numPr>
          <w:ilvl w:val="0"/>
          <w:numId w:val="2"/>
        </w:numPr>
        <w:spacing w:before="156" w:beforeLines="50" w:after="156" w:afterLines="50" w:line="400" w:lineRule="exact"/>
        <w:outlineLvl w:val="1"/>
        <w:rPr>
          <w:rFonts w:eastAsia="黑体"/>
          <w:szCs w:val="21"/>
        </w:rPr>
      </w:pPr>
      <w:bookmarkStart w:id="35" w:name="_Toc138585262"/>
      <w:bookmarkStart w:id="36" w:name="_Toc155447364"/>
      <w:bookmarkStart w:id="37" w:name="_Toc138585405"/>
      <w:bookmarkStart w:id="38" w:name="_Toc153977123"/>
      <w:r>
        <w:rPr>
          <w:rFonts w:hint="eastAsia" w:eastAsia="黑体"/>
          <w:szCs w:val="21"/>
        </w:rPr>
        <w:t>制定背景</w:t>
      </w:r>
      <w:bookmarkEnd w:id="35"/>
      <w:bookmarkEnd w:id="36"/>
      <w:bookmarkEnd w:id="37"/>
      <w:bookmarkEnd w:id="38"/>
    </w:p>
    <w:p>
      <w:pPr>
        <w:spacing w:line="400" w:lineRule="exact"/>
        <w:ind w:firstLine="420"/>
        <w:jc w:val="both"/>
      </w:pPr>
      <w:r>
        <w:rPr>
          <w:rFonts w:hint="eastAsia"/>
        </w:rPr>
        <w:t>GB 38031—2020《电动汽车用动力蓄电池安全要求》作为我国电动汽车领域首批强制性国家标准之一，自2020年5月发布以来，在规范产品生产、引导技术进步、支撑政府管理等方面起到了重要作用。</w:t>
      </w:r>
      <w:r>
        <w:t>GB 38031</w:t>
      </w:r>
      <w:r>
        <w:rPr>
          <w:rFonts w:hint="eastAsia"/>
          <w:lang w:eastAsia="zh-CN"/>
        </w:rPr>
        <w:t>—</w:t>
      </w:r>
      <w:r>
        <w:t>2020</w:t>
      </w:r>
      <w:r>
        <w:rPr>
          <w:rFonts w:hint="eastAsia"/>
        </w:rPr>
        <w:t>从实际应用工况场景出发</w:t>
      </w:r>
      <w:r>
        <w:t>，</w:t>
      </w:r>
      <w:r>
        <w:rPr>
          <w:rFonts w:hint="eastAsia"/>
        </w:rPr>
        <w:t>加强了对电池包和系统的安全要求，并提出了热扩散</w:t>
      </w:r>
      <w:r>
        <w:t>安全</w:t>
      </w:r>
      <w:r>
        <w:rPr>
          <w:rFonts w:hint="eastAsia"/>
        </w:rPr>
        <w:t>要求，提升了企业对于电池单体热失控引发危险的重视程度，对降低产品热失控事故起到了积极作用</w:t>
      </w:r>
      <w:r>
        <w:t>。</w:t>
      </w:r>
      <w:r>
        <w:rPr>
          <w:rFonts w:hint="eastAsia"/>
        </w:rPr>
        <w:t>随着新能源汽车保有量快速增加，</w:t>
      </w:r>
      <w:r>
        <w:t>电动汽车起火</w:t>
      </w:r>
      <w:r>
        <w:rPr>
          <w:rFonts w:hint="eastAsia"/>
        </w:rPr>
        <w:t>事故仍时有发生</w:t>
      </w:r>
      <w:r>
        <w:rPr>
          <w:rFonts w:hint="eastAsia"/>
          <w:lang w:eastAsia="zh-CN"/>
        </w:rPr>
        <w:t>。</w:t>
      </w:r>
      <w:r>
        <w:rPr>
          <w:rFonts w:hint="eastAsia"/>
        </w:rPr>
        <w:t>通过</w:t>
      </w:r>
      <w:r>
        <w:t>对近年</w:t>
      </w:r>
      <w:r>
        <w:rPr>
          <w:rFonts w:hint="eastAsia"/>
          <w:lang w:val="en-US" w:eastAsia="zh-CN"/>
        </w:rPr>
        <w:t>来</w:t>
      </w:r>
      <w:r>
        <w:t>电动汽车安全事故的经验总结，</w:t>
      </w:r>
      <w:r>
        <w:rPr>
          <w:rFonts w:hint="eastAsia"/>
          <w:lang w:val="en-US" w:eastAsia="zh-CN"/>
        </w:rPr>
        <w:t>行业</w:t>
      </w:r>
      <w:r>
        <w:rPr>
          <w:rFonts w:hint="eastAsia"/>
          <w:color w:val="000000"/>
        </w:rPr>
        <w:t>对</w:t>
      </w:r>
      <w:r>
        <w:rPr>
          <w:rFonts w:hint="eastAsia"/>
          <w:color w:val="000000"/>
          <w:lang w:val="en-US" w:eastAsia="zh-CN"/>
        </w:rPr>
        <w:t>于动力电池在</w:t>
      </w:r>
      <w:r>
        <w:rPr>
          <w:rFonts w:hint="eastAsia"/>
          <w:color w:val="000000"/>
        </w:rPr>
        <w:t>实际应用场景</w:t>
      </w:r>
      <w:r>
        <w:rPr>
          <w:rFonts w:hint="eastAsia"/>
          <w:color w:val="000000"/>
          <w:lang w:val="en-US" w:eastAsia="zh-CN"/>
        </w:rPr>
        <w:t>下</w:t>
      </w:r>
      <w:r>
        <w:rPr>
          <w:rFonts w:hint="eastAsia"/>
          <w:color w:val="000000"/>
        </w:rPr>
        <w:t>的失效机制</w:t>
      </w:r>
      <w:r>
        <w:rPr>
          <w:rFonts w:hint="eastAsia"/>
          <w:color w:val="000000"/>
          <w:lang w:val="en-US" w:eastAsia="zh-CN"/>
        </w:rPr>
        <w:t>也</w:t>
      </w:r>
      <w:r>
        <w:rPr>
          <w:rFonts w:hint="eastAsia"/>
          <w:color w:val="000000"/>
        </w:rPr>
        <w:t>有了</w:t>
      </w:r>
      <w:r>
        <w:rPr>
          <w:color w:val="000000"/>
        </w:rPr>
        <w:t>进一步</w:t>
      </w:r>
      <w:r>
        <w:rPr>
          <w:rFonts w:hint="eastAsia"/>
          <w:color w:val="000000"/>
        </w:rPr>
        <w:t>的认识</w:t>
      </w:r>
      <w:r>
        <w:rPr>
          <w:rFonts w:hint="eastAsia"/>
          <w:color w:val="000000"/>
          <w:lang w:eastAsia="zh-CN"/>
        </w:rPr>
        <w:t>。</w:t>
      </w:r>
      <w:r>
        <w:rPr>
          <w:rFonts w:hint="eastAsia"/>
          <w:color w:val="000000"/>
          <w:lang w:val="en-US" w:eastAsia="zh-CN"/>
        </w:rPr>
        <w:t>基于此，有必要</w:t>
      </w:r>
      <w:r>
        <w:rPr>
          <w:rFonts w:hint="eastAsia"/>
        </w:rPr>
        <w:t>修订完善GB 38031《电动汽车用动力蓄电池安全要求》，进一步提升安全要求，筑牢动力电池安全底线，维护消费者生命财产安全。</w:t>
      </w:r>
    </w:p>
    <w:p>
      <w:pPr>
        <w:pStyle w:val="19"/>
        <w:numPr>
          <w:ilvl w:val="0"/>
          <w:numId w:val="2"/>
        </w:numPr>
        <w:spacing w:before="156" w:beforeLines="50" w:after="156" w:afterLines="50" w:line="400" w:lineRule="exact"/>
        <w:outlineLvl w:val="1"/>
        <w:rPr>
          <w:rFonts w:eastAsia="黑体"/>
          <w:szCs w:val="21"/>
        </w:rPr>
      </w:pPr>
      <w:bookmarkStart w:id="39" w:name="_Toc153977124"/>
      <w:bookmarkStart w:id="40" w:name="_Toc155447365"/>
      <w:r>
        <w:rPr>
          <w:rFonts w:eastAsia="黑体"/>
          <w:szCs w:val="21"/>
        </w:rPr>
        <w:t>主要工作过程</w:t>
      </w:r>
      <w:bookmarkEnd w:id="39"/>
      <w:bookmarkEnd w:id="40"/>
    </w:p>
    <w:p>
      <w:pPr>
        <w:spacing w:line="400" w:lineRule="exact"/>
        <w:ind w:firstLine="420"/>
        <w:jc w:val="both"/>
      </w:pPr>
      <w:r>
        <w:t>本标准由</w:t>
      </w:r>
      <w:r>
        <w:rPr>
          <w:rFonts w:hint="eastAsia"/>
        </w:rPr>
        <w:t>工业和信息化部</w:t>
      </w:r>
      <w:r>
        <w:t>归口，</w:t>
      </w:r>
      <w:r>
        <w:rPr>
          <w:rFonts w:hint="eastAsia"/>
        </w:rPr>
        <w:t>委托全国汽车标准化技术委员会电动车辆分技术委员会（以下简称“电动车辆分标委”）</w:t>
      </w:r>
      <w:r>
        <w:t>负责组织开展修订工作。</w:t>
      </w:r>
      <w:r>
        <w:rPr>
          <w:rFonts w:hint="eastAsia"/>
        </w:rPr>
        <w:t>2</w:t>
      </w:r>
      <w:r>
        <w:t>021</w:t>
      </w:r>
      <w:r>
        <w:rPr>
          <w:rFonts w:hint="eastAsia"/>
        </w:rPr>
        <w:t>年下半年开始，电动车辆分标委动力蓄电池标准工作组启动G</w:t>
      </w:r>
      <w:r>
        <w:t>B 38031</w:t>
      </w:r>
      <w:r>
        <w:rPr>
          <w:rFonts w:hint="eastAsia"/>
        </w:rPr>
        <w:t>修订预研工作，组织成立了由宁德时代新能源科技股份有限公司牵头，涵盖</w:t>
      </w:r>
      <w:r>
        <w:rPr>
          <w:szCs w:val="21"/>
        </w:rPr>
        <w:t>电动汽车整车企业、动力电池企业、第三方检测机构</w:t>
      </w:r>
      <w:r>
        <w:rPr>
          <w:rFonts w:hint="eastAsia"/>
          <w:szCs w:val="21"/>
        </w:rPr>
        <w:t>、科研院所</w:t>
      </w:r>
      <w:r>
        <w:rPr>
          <w:szCs w:val="21"/>
        </w:rPr>
        <w:t>的</w:t>
      </w:r>
      <w:r>
        <w:rPr>
          <w:rFonts w:hint="eastAsia"/>
          <w:szCs w:val="21"/>
        </w:rPr>
        <w:t>标准</w:t>
      </w:r>
      <w:r>
        <w:rPr>
          <w:szCs w:val="21"/>
        </w:rPr>
        <w:t>修订</w:t>
      </w:r>
      <w:r>
        <w:rPr>
          <w:rFonts w:hint="eastAsia"/>
          <w:szCs w:val="21"/>
        </w:rPr>
        <w:t>起草</w:t>
      </w:r>
      <w:r>
        <w:rPr>
          <w:szCs w:val="21"/>
        </w:rPr>
        <w:t>组</w:t>
      </w:r>
      <w:r>
        <w:rPr>
          <w:rFonts w:hint="eastAsia"/>
        </w:rPr>
        <w:t>，以下是主要工作过程：</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021</w:t>
      </w:r>
      <w:r>
        <w:rPr>
          <w:rFonts w:hint="eastAsia" w:ascii="Times New Roman" w:cs="Times New Roman"/>
          <w:color w:val="auto"/>
          <w:sz w:val="21"/>
          <w:szCs w:val="21"/>
        </w:rPr>
        <w:t>年</w:t>
      </w:r>
      <w:r>
        <w:rPr>
          <w:rFonts w:ascii="Times New Roman" w:cs="Times New Roman"/>
          <w:color w:val="auto"/>
          <w:sz w:val="21"/>
          <w:szCs w:val="21"/>
        </w:rPr>
        <w:t>11</w:t>
      </w:r>
      <w:r>
        <w:rPr>
          <w:rFonts w:hint="eastAsia" w:ascii="Times New Roman" w:cs="Times New Roman"/>
          <w:color w:val="auto"/>
          <w:sz w:val="21"/>
          <w:szCs w:val="21"/>
        </w:rPr>
        <w:t>月，电动车辆分标委秘书处开展了GB 38031—2020实施效果评估工作，调研2020版本的执行情况，收集行业修订建议。</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2021年12月，动力蓄电池标准工作组2021年第2次会议介绍了GB 38031—2020实施效果评估情况。反馈企业基本一致认为GB 38031—2020的实施，提升了企业对于电池单体热失控引发危险的重视程度，对降低产品热失控事故产生了积极作用；另一方面，超过半数企业反馈了修订意见，主要包括加严热扩散安全要求，增加新的热失控触发方法、考虑停车下电火灾事故场景、明确乘员舱危险定义等方面。</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022</w:t>
      </w:r>
      <w:r>
        <w:rPr>
          <w:rFonts w:hint="eastAsia" w:ascii="Times New Roman" w:cs="Times New Roman"/>
          <w:color w:val="auto"/>
          <w:sz w:val="21"/>
          <w:szCs w:val="21"/>
        </w:rPr>
        <w:t>年</w:t>
      </w:r>
      <w:r>
        <w:rPr>
          <w:rFonts w:ascii="Times New Roman" w:cs="Times New Roman"/>
          <w:color w:val="auto"/>
          <w:sz w:val="21"/>
          <w:szCs w:val="21"/>
        </w:rPr>
        <w:t>3</w:t>
      </w:r>
      <w:r>
        <w:rPr>
          <w:rFonts w:hint="eastAsia" w:ascii="Times New Roman" w:cs="Times New Roman"/>
          <w:color w:val="auto"/>
          <w:sz w:val="21"/>
          <w:szCs w:val="21"/>
        </w:rPr>
        <w:t>月，电动车辆分标委秘书处组织召开GB 38031强标修订预研研讨会，会议讨论了实施效果评估情况、行业反馈意见以及热扩散修订方向等关键技术问题，确定启动G</w:t>
      </w:r>
      <w:r>
        <w:rPr>
          <w:rFonts w:ascii="Times New Roman" w:cs="Times New Roman"/>
          <w:color w:val="auto"/>
          <w:sz w:val="21"/>
          <w:szCs w:val="21"/>
        </w:rPr>
        <w:t>B 38031</w:t>
      </w:r>
      <w:r>
        <w:rPr>
          <w:rFonts w:hint="eastAsia" w:ascii="Times New Roman" w:cs="Times New Roman"/>
          <w:color w:val="auto"/>
          <w:sz w:val="21"/>
          <w:szCs w:val="21"/>
        </w:rPr>
        <w:t>修订工作。</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2022年3月，电动车辆分标委秘书处根据行业反馈的修订建议，组织完成立项草案等立项材料编制工作。</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022</w:t>
      </w:r>
      <w:r>
        <w:rPr>
          <w:rFonts w:hint="eastAsia" w:ascii="Times New Roman" w:cs="Times New Roman"/>
          <w:color w:val="auto"/>
          <w:sz w:val="21"/>
          <w:szCs w:val="21"/>
        </w:rPr>
        <w:t>年</w:t>
      </w:r>
      <w:r>
        <w:rPr>
          <w:rFonts w:ascii="Times New Roman" w:cs="Times New Roman"/>
          <w:color w:val="auto"/>
          <w:sz w:val="21"/>
          <w:szCs w:val="21"/>
        </w:rPr>
        <w:t>4</w:t>
      </w:r>
      <w:r>
        <w:rPr>
          <w:rFonts w:hint="eastAsia" w:ascii="Times New Roman" w:cs="Times New Roman"/>
          <w:color w:val="auto"/>
          <w:sz w:val="21"/>
          <w:szCs w:val="21"/>
        </w:rPr>
        <w:t>月，电动车辆分标委2</w:t>
      </w:r>
      <w:r>
        <w:rPr>
          <w:rFonts w:ascii="Times New Roman" w:cs="Times New Roman"/>
          <w:color w:val="auto"/>
          <w:sz w:val="21"/>
          <w:szCs w:val="21"/>
        </w:rPr>
        <w:t>022</w:t>
      </w:r>
      <w:r>
        <w:rPr>
          <w:rFonts w:hint="eastAsia" w:ascii="Times New Roman" w:cs="Times New Roman"/>
          <w:color w:val="auto"/>
          <w:sz w:val="21"/>
          <w:szCs w:val="21"/>
        </w:rPr>
        <w:t>年第2次审查会上，G</w:t>
      </w:r>
      <w:r>
        <w:rPr>
          <w:rFonts w:ascii="Times New Roman" w:cs="Times New Roman"/>
          <w:color w:val="auto"/>
          <w:sz w:val="21"/>
          <w:szCs w:val="21"/>
        </w:rPr>
        <w:t>B 38031</w:t>
      </w:r>
      <w:r>
        <w:rPr>
          <w:rFonts w:hint="eastAsia" w:ascii="Times New Roman" w:cs="Times New Roman"/>
          <w:color w:val="auto"/>
          <w:sz w:val="21"/>
          <w:szCs w:val="21"/>
        </w:rPr>
        <w:t>修订通过立项审议。</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022</w:t>
      </w:r>
      <w:r>
        <w:rPr>
          <w:rFonts w:hint="eastAsia" w:ascii="Times New Roman" w:cs="Times New Roman"/>
          <w:color w:val="auto"/>
          <w:sz w:val="21"/>
          <w:szCs w:val="21"/>
        </w:rPr>
        <w:t>年5月，动力蓄电池标准工作组2</w:t>
      </w:r>
      <w:r>
        <w:rPr>
          <w:rFonts w:ascii="Times New Roman" w:cs="Times New Roman"/>
          <w:color w:val="auto"/>
          <w:sz w:val="21"/>
          <w:szCs w:val="21"/>
        </w:rPr>
        <w:t>022</w:t>
      </w:r>
      <w:r>
        <w:rPr>
          <w:rFonts w:hint="eastAsia" w:ascii="Times New Roman" w:cs="Times New Roman"/>
          <w:color w:val="auto"/>
          <w:sz w:val="21"/>
          <w:szCs w:val="21"/>
        </w:rPr>
        <w:t>年第1次会议审议了G</w:t>
      </w:r>
      <w:r>
        <w:rPr>
          <w:rFonts w:ascii="Times New Roman" w:cs="Times New Roman"/>
          <w:color w:val="auto"/>
          <w:sz w:val="21"/>
          <w:szCs w:val="21"/>
        </w:rPr>
        <w:t>B 38031</w:t>
      </w:r>
      <w:r>
        <w:rPr>
          <w:rFonts w:hint="eastAsia" w:ascii="Times New Roman" w:cs="Times New Roman"/>
          <w:color w:val="auto"/>
          <w:sz w:val="21"/>
          <w:szCs w:val="21"/>
        </w:rPr>
        <w:t>修订草案，标准起草组单位代表介绍了</w:t>
      </w:r>
      <w:r>
        <w:rPr>
          <w:rFonts w:ascii="Times New Roman" w:cs="Times New Roman"/>
          <w:color w:val="auto"/>
          <w:sz w:val="21"/>
          <w:szCs w:val="21"/>
        </w:rPr>
        <w:t>修订背景</w:t>
      </w:r>
      <w:r>
        <w:rPr>
          <w:rFonts w:hint="eastAsia" w:ascii="Times New Roman" w:cs="Times New Roman"/>
          <w:color w:val="auto"/>
          <w:sz w:val="21"/>
          <w:szCs w:val="21"/>
        </w:rPr>
        <w:t>、</w:t>
      </w:r>
      <w:r>
        <w:rPr>
          <w:rFonts w:ascii="Times New Roman" w:cs="Times New Roman"/>
          <w:color w:val="auto"/>
          <w:sz w:val="21"/>
          <w:szCs w:val="21"/>
        </w:rPr>
        <w:t>预研内容</w:t>
      </w:r>
      <w:r>
        <w:rPr>
          <w:rFonts w:hint="eastAsia" w:ascii="Times New Roman" w:cs="Times New Roman"/>
          <w:color w:val="auto"/>
          <w:sz w:val="21"/>
          <w:szCs w:val="21"/>
        </w:rPr>
        <w:t>。会后</w:t>
      </w:r>
      <w:r>
        <w:rPr>
          <w:rFonts w:ascii="Times New Roman" w:cs="Times New Roman"/>
          <w:color w:val="auto"/>
          <w:sz w:val="21"/>
          <w:szCs w:val="21"/>
        </w:rPr>
        <w:t>秘书处组织成立了涵盖电动汽车整车企业、动力电池企业、第三方检测机构的GB 38031修订研究组</w:t>
      </w:r>
      <w:r>
        <w:rPr>
          <w:rFonts w:hint="eastAsia" w:ascii="Times New Roman" w:cs="Times New Roman"/>
          <w:color w:val="auto"/>
          <w:sz w:val="21"/>
          <w:szCs w:val="21"/>
        </w:rPr>
        <w:t>，并面向热扩散、底部防护等重点修订议题面向动力蓄电池标准工作组全体单位发放调研问卷。</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022</w:t>
      </w:r>
      <w:r>
        <w:rPr>
          <w:rFonts w:hint="eastAsia" w:ascii="Times New Roman" w:cs="Times New Roman"/>
          <w:color w:val="auto"/>
          <w:sz w:val="21"/>
          <w:szCs w:val="21"/>
        </w:rPr>
        <w:t>年</w:t>
      </w:r>
      <w:r>
        <w:rPr>
          <w:rFonts w:ascii="Times New Roman" w:cs="Times New Roman"/>
          <w:color w:val="auto"/>
          <w:sz w:val="21"/>
          <w:szCs w:val="21"/>
        </w:rPr>
        <w:t>7</w:t>
      </w:r>
      <w:r>
        <w:rPr>
          <w:rFonts w:hint="eastAsia" w:ascii="Times New Roman" w:cs="Times New Roman"/>
          <w:color w:val="auto"/>
          <w:sz w:val="21"/>
          <w:szCs w:val="21"/>
        </w:rPr>
        <w:t>月，G</w:t>
      </w:r>
      <w:r>
        <w:rPr>
          <w:rFonts w:ascii="Times New Roman" w:cs="Times New Roman"/>
          <w:color w:val="auto"/>
          <w:sz w:val="21"/>
          <w:szCs w:val="21"/>
        </w:rPr>
        <w:t>B 38031</w:t>
      </w:r>
      <w:r>
        <w:rPr>
          <w:rFonts w:hint="eastAsia" w:ascii="Times New Roman" w:cs="Times New Roman"/>
          <w:color w:val="auto"/>
          <w:sz w:val="21"/>
          <w:szCs w:val="21"/>
        </w:rPr>
        <w:t>修订通过汽标委立项审议并正式上报主管部门。</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022</w:t>
      </w:r>
      <w:r>
        <w:rPr>
          <w:rFonts w:hint="eastAsia" w:ascii="Times New Roman" w:cs="Times New Roman"/>
          <w:color w:val="auto"/>
          <w:sz w:val="21"/>
          <w:szCs w:val="21"/>
        </w:rPr>
        <w:t>年</w:t>
      </w:r>
      <w:r>
        <w:rPr>
          <w:rFonts w:ascii="Times New Roman" w:cs="Times New Roman"/>
          <w:color w:val="auto"/>
          <w:sz w:val="21"/>
          <w:szCs w:val="21"/>
        </w:rPr>
        <w:t>8</w:t>
      </w:r>
      <w:r>
        <w:rPr>
          <w:rFonts w:hint="eastAsia" w:ascii="Times New Roman" w:cs="Times New Roman"/>
          <w:color w:val="auto"/>
          <w:sz w:val="21"/>
          <w:szCs w:val="21"/>
        </w:rPr>
        <w:t>月，</w:t>
      </w:r>
      <w:r>
        <w:rPr>
          <w:rFonts w:ascii="Times New Roman" w:cs="Times New Roman"/>
          <w:color w:val="auto"/>
          <w:sz w:val="21"/>
          <w:szCs w:val="21"/>
        </w:rPr>
        <w:t>GB 38031修订起草组会议</w:t>
      </w:r>
      <w:r>
        <w:rPr>
          <w:rFonts w:hint="eastAsia" w:ascii="Times New Roman" w:cs="Times New Roman"/>
          <w:color w:val="auto"/>
          <w:sz w:val="21"/>
          <w:szCs w:val="21"/>
        </w:rPr>
        <w:t>结合调研问卷收集情况，进一步</w:t>
      </w:r>
      <w:r>
        <w:rPr>
          <w:rFonts w:ascii="Times New Roman" w:cs="Times New Roman"/>
          <w:color w:val="auto"/>
          <w:sz w:val="21"/>
          <w:szCs w:val="21"/>
        </w:rPr>
        <w:t>讨论了</w:t>
      </w:r>
      <w:r>
        <w:rPr>
          <w:rFonts w:hint="eastAsia" w:ascii="Times New Roman" w:cs="Times New Roman"/>
          <w:color w:val="auto"/>
          <w:sz w:val="21"/>
          <w:szCs w:val="21"/>
        </w:rPr>
        <w:t>热扩散、底部防护等重点修订方向，确定热失控判定方法维持不变，热失控触发方法方面研究内加热触发方法的可行性，底部防护测试主要涉及刮底工况（X向）、托底工况（Z向）。</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022</w:t>
      </w:r>
      <w:r>
        <w:rPr>
          <w:rFonts w:hint="eastAsia" w:ascii="Times New Roman" w:cs="Times New Roman"/>
          <w:color w:val="auto"/>
          <w:sz w:val="21"/>
          <w:szCs w:val="21"/>
        </w:rPr>
        <w:t>年</w:t>
      </w:r>
      <w:r>
        <w:rPr>
          <w:rFonts w:ascii="Times New Roman" w:cs="Times New Roman"/>
          <w:color w:val="auto"/>
          <w:sz w:val="21"/>
          <w:szCs w:val="21"/>
        </w:rPr>
        <w:t>11</w:t>
      </w:r>
      <w:r>
        <w:rPr>
          <w:rFonts w:hint="eastAsia" w:ascii="Times New Roman" w:cs="Times New Roman"/>
          <w:color w:val="auto"/>
          <w:sz w:val="21"/>
          <w:szCs w:val="21"/>
        </w:rPr>
        <w:t>月，动力蓄电池标准工作组2</w:t>
      </w:r>
      <w:r>
        <w:rPr>
          <w:rFonts w:ascii="Times New Roman" w:cs="Times New Roman"/>
          <w:color w:val="auto"/>
          <w:sz w:val="21"/>
          <w:szCs w:val="21"/>
        </w:rPr>
        <w:t>022</w:t>
      </w:r>
      <w:r>
        <w:rPr>
          <w:rFonts w:hint="eastAsia" w:ascii="Times New Roman" w:cs="Times New Roman"/>
          <w:color w:val="auto"/>
          <w:sz w:val="21"/>
          <w:szCs w:val="21"/>
        </w:rPr>
        <w:t>年第2次会议上讨论了修订草案，标准起草组单位代表介绍了前期GB 38031修订研究组会议情况。</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023</w:t>
      </w:r>
      <w:r>
        <w:rPr>
          <w:rFonts w:hint="eastAsia" w:ascii="Times New Roman" w:cs="Times New Roman"/>
          <w:color w:val="auto"/>
          <w:sz w:val="21"/>
          <w:szCs w:val="21"/>
        </w:rPr>
        <w:t>年</w:t>
      </w:r>
      <w:r>
        <w:rPr>
          <w:rFonts w:ascii="Times New Roman" w:cs="Times New Roman"/>
          <w:color w:val="auto"/>
          <w:sz w:val="21"/>
          <w:szCs w:val="21"/>
        </w:rPr>
        <w:t>3</w:t>
      </w:r>
      <w:r>
        <w:rPr>
          <w:rFonts w:hint="eastAsia" w:ascii="Times New Roman" w:cs="Times New Roman"/>
          <w:color w:val="auto"/>
          <w:sz w:val="21"/>
          <w:szCs w:val="21"/>
        </w:rPr>
        <w:t>月，动力蓄电池标准工作组2023年第1次会议，标准起草组代表介绍了新版修订草案及前期行业反馈意见的初步处理情况。考虑到2020版本允许使用整车作为热扩散测试对象，但缺乏执行细则，本次会议明确了在修订草案中增加整车测试细则，并根据后续GB 38031修订进程和对应国际标准法规制修订进展进一步完善。</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023</w:t>
      </w:r>
      <w:r>
        <w:rPr>
          <w:rFonts w:hint="eastAsia" w:ascii="Times New Roman" w:cs="Times New Roman"/>
          <w:color w:val="auto"/>
          <w:sz w:val="21"/>
          <w:szCs w:val="21"/>
        </w:rPr>
        <w:t>年</w:t>
      </w:r>
      <w:r>
        <w:rPr>
          <w:rFonts w:ascii="Times New Roman" w:cs="Times New Roman"/>
          <w:color w:val="auto"/>
          <w:sz w:val="21"/>
          <w:szCs w:val="21"/>
        </w:rPr>
        <w:t>7</w:t>
      </w:r>
      <w:r>
        <w:rPr>
          <w:rFonts w:hint="eastAsia" w:ascii="Times New Roman" w:cs="Times New Roman"/>
          <w:color w:val="auto"/>
          <w:sz w:val="21"/>
          <w:szCs w:val="21"/>
        </w:rPr>
        <w:t>月，动力蓄电池安全标准专题研究组会议上审议了GB 38031《电动汽车用动力蓄电池安全要求》预研情况，并收集了与会专家对于标准的意见建议，讨论形成了热扩散</w:t>
      </w:r>
      <w:r>
        <w:rPr>
          <w:rFonts w:ascii="Times New Roman" w:cs="Times New Roman"/>
          <w:color w:val="auto"/>
          <w:sz w:val="21"/>
          <w:szCs w:val="21"/>
        </w:rPr>
        <w:t>保护对象</w:t>
      </w:r>
      <w:r>
        <w:rPr>
          <w:rFonts w:hint="eastAsia" w:ascii="Times New Roman" w:cs="Times New Roman"/>
          <w:color w:val="auto"/>
          <w:sz w:val="21"/>
          <w:szCs w:val="21"/>
        </w:rPr>
        <w:t>由车上人员</w:t>
      </w:r>
      <w:r>
        <w:rPr>
          <w:rFonts w:hint="eastAsia" w:ascii="Times New Roman" w:cs="Times New Roman"/>
          <w:color w:val="auto"/>
          <w:sz w:val="21"/>
          <w:szCs w:val="21"/>
          <w:lang w:val="en-US" w:eastAsia="zh-CN"/>
        </w:rPr>
        <w:t>扩展</w:t>
      </w:r>
      <w:r>
        <w:rPr>
          <w:rFonts w:hint="eastAsia" w:ascii="Times New Roman" w:cs="Times New Roman"/>
          <w:color w:val="auto"/>
          <w:sz w:val="21"/>
          <w:szCs w:val="21"/>
        </w:rPr>
        <w:t>到财产安全和基础设施，</w:t>
      </w:r>
      <w:r>
        <w:rPr>
          <w:rFonts w:ascii="Times New Roman" w:cs="Times New Roman"/>
          <w:color w:val="auto"/>
          <w:sz w:val="21"/>
          <w:szCs w:val="21"/>
        </w:rPr>
        <w:t>适用场景</w:t>
      </w:r>
      <w:r>
        <w:rPr>
          <w:rFonts w:hint="eastAsia" w:ascii="Times New Roman" w:cs="Times New Roman"/>
          <w:color w:val="auto"/>
          <w:sz w:val="21"/>
          <w:szCs w:val="21"/>
        </w:rPr>
        <w:t>由行驶状态</w:t>
      </w:r>
      <w:r>
        <w:rPr>
          <w:rFonts w:ascii="Times New Roman" w:cs="Times New Roman"/>
          <w:color w:val="auto"/>
          <w:sz w:val="21"/>
          <w:szCs w:val="21"/>
        </w:rPr>
        <w:t>扩展</w:t>
      </w:r>
      <w:r>
        <w:rPr>
          <w:rFonts w:hint="eastAsia" w:ascii="Times New Roman" w:cs="Times New Roman"/>
          <w:color w:val="auto"/>
          <w:sz w:val="21"/>
          <w:szCs w:val="21"/>
        </w:rPr>
        <w:t>到停车场景，并基于事故场景研究进一步完善危险定义和提升安全要求的</w:t>
      </w:r>
      <w:r>
        <w:rPr>
          <w:rFonts w:ascii="Times New Roman" w:cs="Times New Roman"/>
          <w:color w:val="auto"/>
          <w:sz w:val="21"/>
          <w:szCs w:val="21"/>
        </w:rPr>
        <w:t>初步结论</w:t>
      </w:r>
      <w:r>
        <w:rPr>
          <w:rFonts w:hint="eastAsia" w:ascii="Times New Roman" w:cs="Times New Roman"/>
          <w:color w:val="auto"/>
          <w:sz w:val="21"/>
          <w:szCs w:val="21"/>
        </w:rPr>
        <w:t>。</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023</w:t>
      </w:r>
      <w:r>
        <w:rPr>
          <w:rFonts w:hint="eastAsia" w:ascii="Times New Roman" w:cs="Times New Roman"/>
          <w:color w:val="auto"/>
          <w:sz w:val="21"/>
          <w:szCs w:val="21"/>
        </w:rPr>
        <w:t>年9月，动力蓄电池标准工作组2023年第</w:t>
      </w:r>
      <w:r>
        <w:rPr>
          <w:rFonts w:ascii="Times New Roman" w:cs="Times New Roman"/>
          <w:color w:val="auto"/>
          <w:sz w:val="21"/>
          <w:szCs w:val="21"/>
        </w:rPr>
        <w:t>2</w:t>
      </w:r>
      <w:r>
        <w:rPr>
          <w:rFonts w:hint="eastAsia" w:ascii="Times New Roman" w:cs="Times New Roman"/>
          <w:color w:val="auto"/>
          <w:sz w:val="21"/>
          <w:szCs w:val="21"/>
        </w:rPr>
        <w:t>次会议，标准起草组代表介绍了前期专题研究组会议进展情况以及前期行业反馈意见的初步处理情况。</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023</w:t>
      </w:r>
      <w:r>
        <w:rPr>
          <w:rFonts w:hint="eastAsia" w:ascii="Times New Roman" w:cs="Times New Roman"/>
          <w:color w:val="auto"/>
          <w:sz w:val="21"/>
          <w:szCs w:val="21"/>
        </w:rPr>
        <w:t>年1</w:t>
      </w:r>
      <w:r>
        <w:rPr>
          <w:rFonts w:ascii="Times New Roman" w:cs="Times New Roman"/>
          <w:color w:val="auto"/>
          <w:sz w:val="21"/>
          <w:szCs w:val="21"/>
        </w:rPr>
        <w:t>2</w:t>
      </w:r>
      <w:r>
        <w:rPr>
          <w:rFonts w:hint="eastAsia" w:ascii="Times New Roman" w:cs="Times New Roman"/>
          <w:color w:val="auto"/>
          <w:sz w:val="21"/>
          <w:szCs w:val="21"/>
        </w:rPr>
        <w:t>月，动力蓄电池安全标准专题研究组会议重点讨论了各项重点修订议题，明确了热扩散要求提升至不起火、不爆炸（仍需提供报警信号）的修订目标，会后，秘书处组织开展了动力电池安全国内外标准法规对比分析专项工作，并通过调研问卷形式进一步征集行业在热扩散、底部防护等方面的意见建议。</w:t>
      </w:r>
    </w:p>
    <w:p>
      <w:pPr>
        <w:pStyle w:val="16"/>
        <w:numPr>
          <w:ilvl w:val="0"/>
          <w:numId w:val="3"/>
        </w:numPr>
        <w:spacing w:line="400" w:lineRule="exact"/>
        <w:ind w:left="0" w:firstLine="420"/>
        <w:jc w:val="both"/>
        <w:rPr>
          <w:rFonts w:ascii="Times New Roman" w:cs="Times New Roman"/>
          <w:color w:val="auto"/>
          <w:sz w:val="21"/>
          <w:szCs w:val="21"/>
        </w:rPr>
      </w:pPr>
      <w:r>
        <w:rPr>
          <w:rFonts w:hint="eastAsia" w:ascii="Times New Roman" w:cs="Times New Roman"/>
          <w:color w:val="auto"/>
          <w:sz w:val="21"/>
          <w:szCs w:val="21"/>
        </w:rPr>
        <w:t>2</w:t>
      </w:r>
      <w:r>
        <w:rPr>
          <w:rFonts w:ascii="Times New Roman" w:cs="Times New Roman"/>
          <w:color w:val="auto"/>
          <w:sz w:val="21"/>
          <w:szCs w:val="21"/>
        </w:rPr>
        <w:t>024</w:t>
      </w:r>
      <w:r>
        <w:rPr>
          <w:rFonts w:hint="eastAsia" w:ascii="Times New Roman" w:cs="Times New Roman"/>
          <w:color w:val="auto"/>
          <w:sz w:val="21"/>
          <w:szCs w:val="21"/>
        </w:rPr>
        <w:t>年</w:t>
      </w:r>
      <w:r>
        <w:rPr>
          <w:rFonts w:ascii="Times New Roman" w:cs="Times New Roman"/>
          <w:color w:val="auto"/>
          <w:sz w:val="21"/>
          <w:szCs w:val="21"/>
        </w:rPr>
        <w:t>3</w:t>
      </w:r>
      <w:r>
        <w:rPr>
          <w:rFonts w:hint="eastAsia" w:ascii="Times New Roman" w:cs="Times New Roman"/>
          <w:color w:val="auto"/>
          <w:sz w:val="21"/>
          <w:szCs w:val="21"/>
        </w:rPr>
        <w:t>月，动力蓄电池安全标准专题研究组会议集中</w:t>
      </w:r>
      <w:r>
        <w:rPr>
          <w:rFonts w:ascii="Times New Roman" w:cs="Times New Roman"/>
          <w:color w:val="auto"/>
          <w:sz w:val="21"/>
          <w:szCs w:val="21"/>
        </w:rPr>
        <w:t>讨论了</w:t>
      </w:r>
      <w:r>
        <w:rPr>
          <w:rFonts w:hint="eastAsia" w:ascii="Times New Roman" w:cs="Times New Roman"/>
          <w:color w:val="auto"/>
          <w:sz w:val="21"/>
          <w:szCs w:val="21"/>
        </w:rPr>
        <w:t>各项重点</w:t>
      </w:r>
      <w:r>
        <w:rPr>
          <w:rFonts w:ascii="Times New Roman" w:cs="Times New Roman"/>
          <w:color w:val="auto"/>
          <w:sz w:val="21"/>
          <w:szCs w:val="21"/>
        </w:rPr>
        <w:t>修订研究</w:t>
      </w:r>
      <w:r>
        <w:rPr>
          <w:rFonts w:hint="eastAsia" w:ascii="Times New Roman" w:cs="Times New Roman"/>
          <w:color w:val="auto"/>
          <w:sz w:val="21"/>
          <w:szCs w:val="21"/>
        </w:rPr>
        <w:t>议题以及收集到的其他修订意见。</w:t>
      </w:r>
    </w:p>
    <w:p>
      <w:pPr>
        <w:pStyle w:val="16"/>
        <w:numPr>
          <w:ilvl w:val="0"/>
          <w:numId w:val="3"/>
        </w:numPr>
        <w:spacing w:line="400" w:lineRule="exact"/>
        <w:ind w:left="0" w:firstLine="420"/>
        <w:jc w:val="both"/>
        <w:rPr>
          <w:rFonts w:ascii="Times New Roman" w:cs="Times New Roman"/>
          <w:color w:val="auto"/>
          <w:sz w:val="21"/>
          <w:szCs w:val="21"/>
        </w:rPr>
      </w:pPr>
      <w:r>
        <w:rPr>
          <w:rFonts w:ascii="Times New Roman" w:cs="Times New Roman"/>
          <w:color w:val="auto"/>
          <w:sz w:val="21"/>
          <w:szCs w:val="21"/>
        </w:rPr>
        <w:t>2024</w:t>
      </w:r>
      <w:r>
        <w:rPr>
          <w:rFonts w:hint="eastAsia" w:ascii="Times New Roman" w:cs="Times New Roman"/>
          <w:color w:val="auto"/>
          <w:sz w:val="21"/>
          <w:szCs w:val="21"/>
        </w:rPr>
        <w:t>年</w:t>
      </w:r>
      <w:r>
        <w:rPr>
          <w:rFonts w:ascii="Times New Roman" w:cs="Times New Roman"/>
          <w:color w:val="auto"/>
          <w:sz w:val="21"/>
          <w:szCs w:val="21"/>
        </w:rPr>
        <w:t>4</w:t>
      </w:r>
      <w:r>
        <w:rPr>
          <w:rFonts w:hint="eastAsia" w:ascii="Times New Roman" w:cs="Times New Roman"/>
          <w:color w:val="auto"/>
          <w:sz w:val="21"/>
          <w:szCs w:val="21"/>
        </w:rPr>
        <w:t>月，标准起草组根据前期讨论结论，根据会上讨论情况，形成了征求意见稿方案，主要包括提升热扩散要求、完善热扩散测试方法、新增底部撞击测试及快充循环后测试（详见编制说明第二部分）。</w:t>
      </w:r>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41" w:name="_Toc64898476"/>
      <w:r>
        <w:rPr>
          <w:rFonts w:hint="eastAsia" w:ascii="黑体" w:hAnsi="黑体" w:eastAsia="黑体" w:cs="宋体"/>
          <w:bCs/>
          <w:color w:val="000000"/>
          <w:kern w:val="0"/>
          <w:sz w:val="24"/>
        </w:rPr>
        <w:t>编制原则、强制性国家标准主要技术要求的依据及理由</w:t>
      </w:r>
      <w:bookmarkEnd w:id="41"/>
    </w:p>
    <w:p>
      <w:pPr>
        <w:pStyle w:val="19"/>
        <w:numPr>
          <w:ilvl w:val="0"/>
          <w:numId w:val="4"/>
        </w:numPr>
        <w:spacing w:before="156" w:beforeLines="50" w:after="156" w:afterLines="50" w:line="400" w:lineRule="exact"/>
        <w:outlineLvl w:val="1"/>
        <w:rPr>
          <w:rFonts w:eastAsia="黑体"/>
          <w:szCs w:val="21"/>
        </w:rPr>
      </w:pPr>
      <w:bookmarkStart w:id="42" w:name="_Toc64898477"/>
      <w:r>
        <w:rPr>
          <w:rFonts w:hint="eastAsia" w:eastAsia="黑体"/>
          <w:szCs w:val="21"/>
        </w:rPr>
        <w:t>编制原则</w:t>
      </w:r>
    </w:p>
    <w:p>
      <w:pPr>
        <w:pStyle w:val="16"/>
        <w:numPr>
          <w:ilvl w:val="0"/>
          <w:numId w:val="5"/>
        </w:numPr>
        <w:spacing w:line="400" w:lineRule="exact"/>
        <w:ind w:left="0" w:firstLine="420"/>
        <w:jc w:val="both"/>
        <w:rPr>
          <w:rFonts w:ascii="Times New Roman" w:cs="Times New Roman"/>
          <w:color w:val="auto"/>
          <w:sz w:val="21"/>
          <w:szCs w:val="21"/>
        </w:rPr>
      </w:pPr>
      <w:r>
        <w:rPr>
          <w:rFonts w:ascii="Times New Roman" w:cs="Times New Roman"/>
          <w:color w:val="auto"/>
          <w:sz w:val="21"/>
          <w:szCs w:val="21"/>
        </w:rPr>
        <w:t>本文件编写符合GB/T 1.1</w:t>
      </w:r>
      <w:r>
        <w:rPr>
          <w:rFonts w:hint="eastAsia" w:ascii="Times New Roman" w:cs="Times New Roman"/>
          <w:color w:val="auto"/>
          <w:sz w:val="21"/>
          <w:szCs w:val="21"/>
        </w:rPr>
        <w:t>—2</w:t>
      </w:r>
      <w:r>
        <w:rPr>
          <w:rFonts w:ascii="Times New Roman" w:cs="Times New Roman"/>
          <w:color w:val="auto"/>
          <w:sz w:val="21"/>
          <w:szCs w:val="21"/>
        </w:rPr>
        <w:t>020《标准化工作导则 第1部分：标准化文件的结构和起草规则》的规定；</w:t>
      </w:r>
    </w:p>
    <w:p>
      <w:pPr>
        <w:pStyle w:val="16"/>
        <w:numPr>
          <w:ilvl w:val="0"/>
          <w:numId w:val="5"/>
        </w:numPr>
        <w:spacing w:line="400" w:lineRule="exact"/>
        <w:ind w:left="0" w:firstLine="420"/>
        <w:jc w:val="both"/>
        <w:rPr>
          <w:rFonts w:ascii="Times New Roman" w:cs="Times New Roman"/>
          <w:color w:val="auto"/>
          <w:sz w:val="21"/>
          <w:szCs w:val="21"/>
        </w:rPr>
      </w:pPr>
      <w:r>
        <w:rPr>
          <w:rFonts w:ascii="Times New Roman" w:cs="Times New Roman"/>
          <w:color w:val="auto"/>
          <w:sz w:val="21"/>
          <w:szCs w:val="21"/>
        </w:rPr>
        <w:t>本文件制定过程中，在工作组及行业内进行多次意见征求，并在会上充分讨论；</w:t>
      </w:r>
    </w:p>
    <w:p>
      <w:pPr>
        <w:pStyle w:val="16"/>
        <w:numPr>
          <w:ilvl w:val="0"/>
          <w:numId w:val="5"/>
        </w:numPr>
        <w:spacing w:line="400" w:lineRule="exact"/>
        <w:ind w:left="0" w:firstLine="420"/>
        <w:jc w:val="both"/>
        <w:rPr>
          <w:rFonts w:ascii="Times New Roman" w:cs="Times New Roman"/>
          <w:color w:val="auto"/>
          <w:sz w:val="21"/>
          <w:szCs w:val="21"/>
        </w:rPr>
      </w:pPr>
      <w:r>
        <w:rPr>
          <w:rFonts w:ascii="Times New Roman" w:cs="Times New Roman"/>
          <w:color w:val="auto"/>
          <w:sz w:val="21"/>
          <w:szCs w:val="21"/>
        </w:rPr>
        <w:t>起草过程充分考虑</w:t>
      </w:r>
      <w:r>
        <w:rPr>
          <w:rFonts w:hint="eastAsia" w:ascii="Times New Roman" w:cs="Times New Roman"/>
          <w:color w:val="auto"/>
          <w:sz w:val="21"/>
          <w:szCs w:val="21"/>
        </w:rPr>
        <w:t>了</w:t>
      </w:r>
      <w:r>
        <w:rPr>
          <w:rFonts w:ascii="Times New Roman" w:cs="Times New Roman"/>
          <w:color w:val="auto"/>
          <w:sz w:val="21"/>
          <w:szCs w:val="21"/>
        </w:rPr>
        <w:t>国内外现有相关标准的统一和协调，同时结合了我国道路交通典型案例、电动汽车及动力电池发展的情况。</w:t>
      </w:r>
    </w:p>
    <w:p>
      <w:pPr>
        <w:pStyle w:val="19"/>
        <w:numPr>
          <w:ilvl w:val="0"/>
          <w:numId w:val="4"/>
        </w:numPr>
        <w:spacing w:before="156" w:beforeLines="50" w:after="156" w:afterLines="50" w:line="400" w:lineRule="exact"/>
        <w:outlineLvl w:val="1"/>
        <w:rPr>
          <w:rFonts w:eastAsia="黑体"/>
          <w:szCs w:val="21"/>
        </w:rPr>
      </w:pPr>
      <w:bookmarkStart w:id="43" w:name="_Toc101966224"/>
      <w:bookmarkStart w:id="44" w:name="_Toc138585409"/>
      <w:bookmarkStart w:id="45" w:name="_Toc138585266"/>
      <w:bookmarkStart w:id="46" w:name="_Toc155447368"/>
      <w:bookmarkStart w:id="47" w:name="_Toc138577210"/>
      <w:bookmarkStart w:id="48" w:name="_Toc153977127"/>
      <w:r>
        <w:rPr>
          <w:rFonts w:eastAsia="黑体"/>
          <w:szCs w:val="21"/>
        </w:rPr>
        <w:t>主要内容</w:t>
      </w:r>
      <w:bookmarkEnd w:id="43"/>
      <w:r>
        <w:rPr>
          <w:rFonts w:hint="eastAsia" w:eastAsia="黑体"/>
          <w:szCs w:val="21"/>
        </w:rPr>
        <w:t>及其确定依据</w:t>
      </w:r>
      <w:bookmarkEnd w:id="44"/>
      <w:bookmarkEnd w:id="45"/>
      <w:bookmarkEnd w:id="46"/>
      <w:bookmarkEnd w:id="47"/>
      <w:bookmarkEnd w:id="48"/>
    </w:p>
    <w:p>
      <w:pPr>
        <w:spacing w:line="360" w:lineRule="auto"/>
        <w:ind w:firstLine="420"/>
      </w:pPr>
      <w:r>
        <w:rPr>
          <w:rFonts w:hint="eastAsia"/>
        </w:rPr>
        <w:t>本标准代替</w:t>
      </w:r>
      <w:r>
        <w:t>GB 38031</w:t>
      </w:r>
      <w:r>
        <w:rPr>
          <w:rFonts w:hint="eastAsia"/>
        </w:rPr>
        <w:t>—2</w:t>
      </w:r>
      <w:r>
        <w:t>020</w:t>
      </w:r>
      <w:r>
        <w:rPr>
          <w:rFonts w:hint="eastAsia"/>
        </w:rPr>
        <w:t>《电动汽车用动力蓄电池安全要求》，与G</w:t>
      </w:r>
      <w:r>
        <w:t>B 38031</w:t>
      </w:r>
      <w:r>
        <w:rPr>
          <w:rFonts w:hint="eastAsia"/>
        </w:rPr>
        <w:t>—2</w:t>
      </w:r>
      <w:r>
        <w:t>020</w:t>
      </w:r>
      <w:r>
        <w:rPr>
          <w:rFonts w:hint="eastAsia"/>
        </w:rPr>
        <w:t>相比，主要技术变化如下：</w:t>
      </w:r>
    </w:p>
    <w:p>
      <w:pPr>
        <w:pStyle w:val="3"/>
        <w:numPr>
          <w:ilvl w:val="0"/>
          <w:numId w:val="6"/>
        </w:numPr>
        <w:spacing w:line="360" w:lineRule="auto"/>
        <w:ind w:left="720"/>
        <w:jc w:val="both"/>
        <w:rPr>
          <w:szCs w:val="21"/>
        </w:rPr>
      </w:pPr>
      <w:r>
        <w:rPr>
          <w:rFonts w:hint="eastAsia"/>
          <w:szCs w:val="21"/>
        </w:rPr>
        <w:t>范围</w:t>
      </w:r>
    </w:p>
    <w:p>
      <w:pPr>
        <w:pStyle w:val="3"/>
        <w:spacing w:line="360" w:lineRule="auto"/>
        <w:ind w:firstLine="420" w:firstLineChars="200"/>
        <w:jc w:val="both"/>
        <w:rPr>
          <w:szCs w:val="21"/>
        </w:rPr>
      </w:pPr>
      <w:r>
        <w:rPr>
          <w:rFonts w:hint="eastAsia"/>
          <w:szCs w:val="21"/>
        </w:rPr>
        <w:t>本标准规定了</w:t>
      </w:r>
      <w:r>
        <w:rPr>
          <w:szCs w:val="21"/>
        </w:rPr>
        <w:t>电动汽车用动力蓄电池的安全要求和试验方法</w:t>
      </w:r>
      <w:r>
        <w:rPr>
          <w:rFonts w:hint="eastAsia"/>
          <w:szCs w:val="21"/>
        </w:rPr>
        <w:t>，适用范围也应明确为动力蓄电池，不包括不为电动汽车提供动力的蓄电池，如12V低压辅助电源。此外，考虑到行业技术发展，标准范围应能涵盖</w:t>
      </w:r>
      <w:r>
        <w:rPr>
          <w:szCs w:val="21"/>
        </w:rPr>
        <w:t>钠离子电池、锂金属电池等</w:t>
      </w:r>
      <w:r>
        <w:rPr>
          <w:rFonts w:hint="eastAsia"/>
          <w:szCs w:val="21"/>
        </w:rPr>
        <w:t>新型动力蓄电池。因此将原文中“本标准</w:t>
      </w:r>
      <w:r>
        <w:rPr>
          <w:szCs w:val="21"/>
        </w:rPr>
        <w:t>适用于电动汽车</w:t>
      </w:r>
      <w:r>
        <w:rPr>
          <w:rFonts w:hint="eastAsia"/>
          <w:szCs w:val="21"/>
        </w:rPr>
        <w:t>用</w:t>
      </w:r>
      <w:r>
        <w:rPr>
          <w:szCs w:val="21"/>
        </w:rPr>
        <w:t>锂离子电池</w:t>
      </w:r>
      <w:r>
        <w:rPr>
          <w:rFonts w:hint="eastAsia"/>
          <w:szCs w:val="21"/>
        </w:rPr>
        <w:t>和</w:t>
      </w:r>
      <w:r>
        <w:rPr>
          <w:szCs w:val="21"/>
        </w:rPr>
        <w:t>镍氢电池</w:t>
      </w:r>
      <w:r>
        <w:rPr>
          <w:rFonts w:hint="eastAsia"/>
          <w:szCs w:val="21"/>
        </w:rPr>
        <w:t>等可充电储能装置”改为“</w:t>
      </w:r>
      <w:r>
        <w:rPr>
          <w:color w:val="000000"/>
          <w:szCs w:val="21"/>
        </w:rPr>
        <w:t>本文件适用于</w:t>
      </w:r>
      <w:r>
        <w:rPr>
          <w:rFonts w:hint="eastAsia"/>
        </w:rPr>
        <w:t>电动汽车用动力蓄电池</w:t>
      </w:r>
      <w:r>
        <w:rPr>
          <w:rFonts w:hint="eastAsia"/>
          <w:szCs w:val="21"/>
        </w:rPr>
        <w:t>”</w:t>
      </w:r>
      <w:r>
        <w:rPr>
          <w:rFonts w:hint="eastAsia"/>
          <w:color w:val="000000"/>
          <w:szCs w:val="21"/>
        </w:rPr>
        <w:t>。</w:t>
      </w:r>
    </w:p>
    <w:p>
      <w:pPr>
        <w:pStyle w:val="3"/>
        <w:numPr>
          <w:ilvl w:val="0"/>
          <w:numId w:val="6"/>
        </w:numPr>
        <w:spacing w:line="360" w:lineRule="auto"/>
        <w:ind w:left="720"/>
        <w:jc w:val="both"/>
        <w:rPr>
          <w:szCs w:val="21"/>
        </w:rPr>
      </w:pPr>
      <w:r>
        <w:rPr>
          <w:rFonts w:hint="eastAsia" w:ascii="宋体" w:hAnsi="宋体"/>
          <w:color w:val="000000" w:themeColor="text1"/>
          <w14:textFill>
            <w14:solidFill>
              <w14:schemeClr w14:val="tx1"/>
            </w14:solidFill>
          </w14:textFill>
        </w:rPr>
        <w:t>异常终止条件要求</w:t>
      </w:r>
    </w:p>
    <w:p>
      <w:pPr>
        <w:pStyle w:val="3"/>
        <w:spacing w:line="360" w:lineRule="auto"/>
        <w:ind w:firstLine="420" w:firstLineChars="200"/>
        <w:jc w:val="both"/>
        <w:rPr>
          <w:szCs w:val="21"/>
        </w:rPr>
      </w:pPr>
      <w:r>
        <w:rPr>
          <w:rFonts w:hint="eastAsia"/>
          <w:szCs w:val="21"/>
        </w:rPr>
        <w:t>在高海拔安全要求（5.2.10）和试验方法（8.2.10）中，为保护试验操作人员和实验室安全，规定了需要制造商提供异常终止条件，且要求不能触发异常终止条件。为了保持试验项间的统一，对湿热循环（5.2.5、8.2.5）、温度冲击（5.2.8、8.2.8）、盐雾（5.2.9、8.2.9）等环境类安全测试均做了相同要求。</w:t>
      </w:r>
    </w:p>
    <w:p>
      <w:pPr>
        <w:pStyle w:val="3"/>
        <w:numPr>
          <w:ilvl w:val="0"/>
          <w:numId w:val="6"/>
        </w:numPr>
        <w:spacing w:line="360" w:lineRule="auto"/>
        <w:ind w:left="720"/>
        <w:jc w:val="both"/>
        <w:rPr>
          <w:szCs w:val="21"/>
        </w:rPr>
      </w:pPr>
      <w:r>
        <w:rPr>
          <w:rFonts w:hint="eastAsia"/>
        </w:rPr>
        <w:t>温度冲击试验</w:t>
      </w:r>
    </w:p>
    <w:p>
      <w:pPr>
        <w:pStyle w:val="3"/>
        <w:spacing w:line="360" w:lineRule="auto"/>
        <w:ind w:firstLine="420" w:firstLineChars="200"/>
        <w:jc w:val="both"/>
        <w:rPr>
          <w:szCs w:val="21"/>
        </w:rPr>
      </w:pPr>
      <w:r>
        <w:rPr>
          <w:rFonts w:hint="eastAsia"/>
        </w:rPr>
        <w:t>在温度冲击试验（8.</w:t>
      </w:r>
      <w:r>
        <w:t>2.8</w:t>
      </w:r>
      <w:r>
        <w:rPr>
          <w:rFonts w:hint="eastAsia"/>
        </w:rPr>
        <w:t>）中未规定先低温还是先高温，在实际测试执行时流程无法统一，对此，补充了温度冲击试验温度示意图，供研发及测试人员执行。</w:t>
      </w:r>
    </w:p>
    <w:p>
      <w:pPr>
        <w:pStyle w:val="3"/>
        <w:numPr>
          <w:ilvl w:val="0"/>
          <w:numId w:val="6"/>
        </w:numPr>
        <w:spacing w:line="360" w:lineRule="auto"/>
        <w:ind w:left="720"/>
        <w:jc w:val="both"/>
        <w:rPr>
          <w:szCs w:val="21"/>
        </w:rPr>
      </w:pPr>
      <w:r>
        <w:rPr>
          <w:rFonts w:hint="eastAsia"/>
        </w:rPr>
        <w:t>盐雾试验</w:t>
      </w:r>
    </w:p>
    <w:p>
      <w:pPr>
        <w:pStyle w:val="3"/>
        <w:spacing w:line="360" w:lineRule="auto"/>
        <w:ind w:firstLine="420" w:firstLineChars="200"/>
        <w:jc w:val="both"/>
        <w:rPr>
          <w:szCs w:val="21"/>
        </w:rPr>
      </w:pPr>
      <w:r>
        <w:rPr>
          <w:rFonts w:hint="eastAsia"/>
        </w:rPr>
        <w:t>在盐雾试验（8.2.9）中，原标准中的测试方法参考了</w:t>
      </w:r>
      <w:r>
        <w:t>GB/T</w:t>
      </w:r>
      <w:r>
        <w:rPr>
          <w:rFonts w:hint="eastAsia"/>
        </w:rPr>
        <w:t xml:space="preserve"> </w:t>
      </w:r>
      <w:r>
        <w:t>28046.4</w:t>
      </w:r>
      <w:r>
        <w:rPr>
          <w:rFonts w:hint="eastAsia"/>
        </w:rPr>
        <w:t>—</w:t>
      </w:r>
      <w:r>
        <w:t>2011中5.5.2的测试</w:t>
      </w:r>
      <w:r>
        <w:rPr>
          <w:rFonts w:hint="eastAsia"/>
        </w:rPr>
        <w:t>方法，规定了在一个循环的第4小时和第5小时之间进行低压上电监控。但</w:t>
      </w:r>
      <w:r>
        <w:t>GB/T</w:t>
      </w:r>
      <w:r>
        <w:rPr>
          <w:rFonts w:hint="eastAsia"/>
        </w:rPr>
        <w:t xml:space="preserve"> </w:t>
      </w:r>
      <w:r>
        <w:t>28046.4</w:t>
      </w:r>
      <w:r>
        <w:rPr>
          <w:rFonts w:hint="eastAsia"/>
        </w:rPr>
        <w:t>—</w:t>
      </w:r>
      <w:r>
        <w:t>2011</w:t>
      </w:r>
      <w:r>
        <w:rPr>
          <w:rFonts w:hint="eastAsia"/>
        </w:rPr>
        <w:t>中盐雾试验的侧重点是考察在第4小时和第5小时之间按照规定的工作模式下，装置/系统的功能状态，而GB</w:t>
      </w:r>
      <w:r>
        <w:t xml:space="preserve"> 38031</w:t>
      </w:r>
      <w:r>
        <w:rPr>
          <w:rFonts w:hint="eastAsia"/>
        </w:rPr>
        <w:t>的侧重点是考察产品试验后的安全状态，因此，第4小时和第5小时之间的低压上电监控并无实质性意义，经工作组讨论确定，删除此条件。</w:t>
      </w:r>
    </w:p>
    <w:p>
      <w:pPr>
        <w:pStyle w:val="3"/>
        <w:numPr>
          <w:ilvl w:val="0"/>
          <w:numId w:val="6"/>
        </w:numPr>
        <w:spacing w:line="360" w:lineRule="auto"/>
        <w:ind w:left="720"/>
        <w:jc w:val="both"/>
        <w:rPr>
          <w:szCs w:val="21"/>
        </w:rPr>
      </w:pPr>
      <w:r>
        <w:rPr>
          <w:rFonts w:hint="eastAsia"/>
        </w:rPr>
        <w:t>电池系统保护类试验</w:t>
      </w:r>
    </w:p>
    <w:p>
      <w:pPr>
        <w:pStyle w:val="3"/>
        <w:spacing w:line="360" w:lineRule="auto"/>
        <w:ind w:firstLine="420" w:firstLineChars="200"/>
        <w:jc w:val="both"/>
      </w:pPr>
      <w:r>
        <w:rPr>
          <w:rFonts w:hint="eastAsia"/>
        </w:rPr>
        <w:t>原标准中五大保护类试验方法转化自</w:t>
      </w:r>
      <w:r>
        <w:rPr>
          <w:rFonts w:hint="eastAsia"/>
          <w:lang w:val="en-US" w:eastAsia="zh-CN"/>
        </w:rPr>
        <w:t xml:space="preserve">UN </w:t>
      </w:r>
      <w:r>
        <w:rPr>
          <w:rFonts w:hint="eastAsia"/>
        </w:rPr>
        <w:t>GTR</w:t>
      </w:r>
      <w:r>
        <w:rPr>
          <w:rFonts w:hint="eastAsia"/>
          <w:lang w:val="en-US" w:eastAsia="zh-CN"/>
        </w:rPr>
        <w:t xml:space="preserve"> 20</w:t>
      </w:r>
      <w:r>
        <w:t>，</w:t>
      </w:r>
      <w:r>
        <w:rPr>
          <w:rFonts w:hint="eastAsia"/>
        </w:rPr>
        <w:t>安全要求中规定了试验后的绝缘电阻应</w:t>
      </w:r>
      <w:r>
        <w:t>不小于100 Ω/V</w:t>
      </w:r>
      <w:r>
        <w:rPr>
          <w:rFonts w:hint="eastAsia"/>
        </w:rPr>
        <w:t>，而在</w:t>
      </w:r>
      <w:r>
        <w:t>ISO 6469-1</w:t>
      </w:r>
      <w:r>
        <w:rPr>
          <w:rFonts w:hint="eastAsia"/>
        </w:rPr>
        <w:t>:</w:t>
      </w:r>
      <w:r>
        <w:t xml:space="preserve"> </w:t>
      </w:r>
      <w:r>
        <w:rPr>
          <w:rFonts w:hint="eastAsia"/>
        </w:rPr>
        <w:t>2019</w:t>
      </w:r>
      <w:r>
        <w:t>中，</w:t>
      </w:r>
      <w:r>
        <w:rPr>
          <w:rFonts w:hint="eastAsia"/>
        </w:rPr>
        <w:t>规定了若</w:t>
      </w:r>
      <w:r>
        <w:t>电池系统包含交流电路，且没有符合 ISO 6469-3的额外交流保护</w:t>
      </w:r>
      <w:r>
        <w:rPr>
          <w:rFonts w:hint="eastAsia"/>
        </w:rPr>
        <w:t>，</w:t>
      </w:r>
      <w:r>
        <w:t>绝缘电阻</w:t>
      </w:r>
      <w:r>
        <w:rPr>
          <w:rFonts w:hint="eastAsia"/>
        </w:rPr>
        <w:t>应不低于</w:t>
      </w:r>
      <w:r>
        <w:t>500Ω/V</w:t>
      </w:r>
      <w:r>
        <w:rPr>
          <w:rFonts w:hint="eastAsia"/>
        </w:rPr>
        <w:t>；GB</w:t>
      </w:r>
      <w:r>
        <w:t xml:space="preserve"> 18384</w:t>
      </w:r>
      <w:r>
        <w:rPr>
          <w:rFonts w:hint="eastAsia"/>
          <w:lang w:eastAsia="zh-CN"/>
        </w:rPr>
        <w:t>—</w:t>
      </w:r>
      <w:r>
        <w:t>2020</w:t>
      </w:r>
      <w:r>
        <w:rPr>
          <w:rFonts w:hint="eastAsia"/>
        </w:rPr>
        <w:t>中也规定了直流电路绝缘电阻应不小于1</w:t>
      </w:r>
      <w:r>
        <w:t>00Ω/V</w:t>
      </w:r>
      <w:r>
        <w:rPr>
          <w:rFonts w:hint="eastAsia"/>
        </w:rPr>
        <w:t>，交流电路绝缘电阻应不小于500</w:t>
      </w:r>
      <w:r>
        <w:t>Ω/</w:t>
      </w:r>
      <w:r>
        <w:rPr>
          <w:rFonts w:hint="eastAsia"/>
        </w:rPr>
        <w:t>V。因此，在保护类测试中增加“若有交流电路，绝缘电阻应不小于</w:t>
      </w:r>
      <w:r>
        <w:t>500Ω/V</w:t>
      </w:r>
      <w:r>
        <w:rPr>
          <w:rFonts w:hint="eastAsia"/>
        </w:rPr>
        <w:t>”的要求。另外，在过温保护（8.2.11）中，未规定试验对象SOC，因此在试验前，样品SOC默认参考6.1.10中规定的最高工作荷电状态进行调整。但由于过温保护试验条件中规定了通过连续充放电使试验对象温度尽可能快地升高，因此试验前的SOC调整必要性较低，经工作组讨论确认，对过温保护试验对象的SOC不作限定，只要符合正常的工作范围即可。</w:t>
      </w:r>
    </w:p>
    <w:p>
      <w:pPr>
        <w:pStyle w:val="3"/>
        <w:numPr>
          <w:ilvl w:val="0"/>
          <w:numId w:val="6"/>
        </w:numPr>
        <w:spacing w:line="360" w:lineRule="auto"/>
        <w:ind w:left="720"/>
        <w:jc w:val="both"/>
      </w:pPr>
      <w:r>
        <w:rPr>
          <w:rFonts w:hint="eastAsia"/>
        </w:rPr>
        <w:t>电池包或系统挤压试验</w:t>
      </w:r>
    </w:p>
    <w:p>
      <w:pPr>
        <w:pStyle w:val="3"/>
        <w:spacing w:line="360" w:lineRule="auto"/>
        <w:ind w:firstLine="420" w:firstLineChars="200"/>
        <w:jc w:val="both"/>
        <w:rPr>
          <w:rFonts w:ascii="宋体" w:hAnsi="宋体"/>
          <w:szCs w:val="20"/>
        </w:rPr>
      </w:pPr>
      <w:r>
        <w:rPr>
          <w:rFonts w:hint="eastAsia"/>
        </w:rPr>
        <w:t>对于安装在车厢内的电池包或系统，如HEV电池，通过车辆本体的结构强度可在一定程度上保障电池包或系统免受碰撞或减弱对电池包或系统的碰撞。在EVS</w:t>
      </w:r>
      <w:r>
        <w:t xml:space="preserve"> GTR</w:t>
      </w:r>
      <w:r>
        <w:rPr>
          <w:rFonts w:hint="eastAsia"/>
        </w:rPr>
        <w:t>及</w:t>
      </w:r>
      <w:r>
        <w:t xml:space="preserve">UN </w:t>
      </w:r>
      <w:r>
        <w:rPr>
          <w:rFonts w:hint="eastAsia"/>
        </w:rPr>
        <w:t>R100中，均规定了可以选择电池包或车辆进行试验。因此，在8.4.2.1试验对象中，增加了“对于安装在车厢内的电池包或系统，允许带有车身结构件进行试验”。此外，对于带车身结构进行测试的情况，由于车身结构不规则，以30%形变量作为截止条件对于测试执行存在难度，因此</w:t>
      </w:r>
      <w:r>
        <w:rPr>
          <w:rFonts w:hint="eastAsia" w:ascii="宋体" w:hAnsi="宋体"/>
        </w:rPr>
        <w:t>对于带车身结构件</w:t>
      </w:r>
      <w:r>
        <w:rPr>
          <w:rFonts w:hint="eastAsia" w:ascii="宋体" w:hAnsi="宋体"/>
          <w:szCs w:val="20"/>
        </w:rPr>
        <w:t>进行挤压的情况，明确应以挤压力达到</w:t>
      </w:r>
      <w:r>
        <w:rPr>
          <w:rFonts w:hint="default" w:ascii="Times New Roman" w:hAnsi="Times New Roman" w:cs="Times New Roman"/>
          <w:szCs w:val="20"/>
        </w:rPr>
        <w:t>100 kN</w:t>
      </w:r>
      <w:r>
        <w:rPr>
          <w:rFonts w:hint="eastAsia" w:ascii="宋体" w:hAnsi="宋体"/>
          <w:szCs w:val="20"/>
        </w:rPr>
        <w:t>作为截止条件。另外，对于原标准中达到截止条件后保持10min的表述，未明确保持力还是位移，经工作组讨论后确认，修改为保持当前位移10min，电池单体层级表述也保持同步。</w:t>
      </w:r>
    </w:p>
    <w:p>
      <w:pPr>
        <w:pStyle w:val="3"/>
        <w:numPr>
          <w:ilvl w:val="0"/>
          <w:numId w:val="6"/>
        </w:numPr>
        <w:spacing w:line="360" w:lineRule="auto"/>
        <w:ind w:left="720"/>
        <w:jc w:val="both"/>
      </w:pPr>
      <w:r>
        <w:rPr>
          <w:rFonts w:hint="eastAsia"/>
        </w:rPr>
        <w:t>外部火烧试验</w:t>
      </w:r>
    </w:p>
    <w:p>
      <w:pPr>
        <w:pStyle w:val="3"/>
        <w:spacing w:line="360" w:lineRule="auto"/>
        <w:ind w:firstLine="420" w:firstLineChars="200"/>
        <w:jc w:val="both"/>
      </w:pPr>
      <w:r>
        <w:rPr>
          <w:rFonts w:hint="eastAsia"/>
        </w:rPr>
        <w:t>原标准中定义了直接燃烧70s+间接燃烧60s，然而在测试执行过程中，对于燃烧开始及结束的计时存在理解上的偏差，部分企业认为应由样品刚开始接触/离开火焰时计时开始/结束，导致实际燃烧时间与标准要求不符。对此，在8.2.7.1.3中补充了“燃烧时间应在试验对象与油盘均处于静止状态下计时开始或结束”。</w:t>
      </w:r>
    </w:p>
    <w:p>
      <w:pPr>
        <w:pStyle w:val="3"/>
        <w:numPr>
          <w:ilvl w:val="0"/>
          <w:numId w:val="6"/>
        </w:numPr>
        <w:spacing w:line="360" w:lineRule="auto"/>
        <w:ind w:left="720"/>
        <w:jc w:val="both"/>
        <w:rPr>
          <w:szCs w:val="21"/>
        </w:rPr>
      </w:pPr>
      <w:r>
        <w:t>热扩</w:t>
      </w:r>
      <w:r>
        <w:rPr>
          <w:rFonts w:hint="eastAsia"/>
        </w:rPr>
        <w:t>散分析及验证</w:t>
      </w:r>
    </w:p>
    <w:p>
      <w:pPr>
        <w:spacing w:line="360" w:lineRule="auto"/>
        <w:ind w:firstLine="420"/>
        <w:jc w:val="both"/>
        <w:rPr>
          <w:szCs w:val="21"/>
        </w:rPr>
      </w:pPr>
      <w:r>
        <w:rPr>
          <w:rFonts w:hint="eastAsia"/>
          <w:szCs w:val="21"/>
        </w:rPr>
        <w:t>a</w:t>
      </w:r>
      <w:r>
        <w:rPr>
          <w:szCs w:val="21"/>
        </w:rPr>
        <w:t xml:space="preserve">) </w:t>
      </w:r>
      <w:r>
        <w:rPr>
          <w:rFonts w:hint="eastAsia"/>
          <w:szCs w:val="21"/>
        </w:rPr>
        <w:t>安全要求：基于热扩散</w:t>
      </w:r>
      <w:r>
        <w:rPr>
          <w:szCs w:val="21"/>
        </w:rPr>
        <w:t>保护</w:t>
      </w:r>
      <w:r>
        <w:rPr>
          <w:rFonts w:hint="eastAsia"/>
          <w:szCs w:val="21"/>
        </w:rPr>
        <w:t>范围由乘员安全扩展到财产安全的行业共识，研究组讨论进一步提升热扩散要求至“不起火、不爆炸”。从行业调研问卷反馈情况（图1）显示，截止至2024年2月，已有78%的企业已具备“不起火、不爆炸”技术储备，基于上述情况，研究组一致认为将热扩散要求提升至“不起火、不爆炸”具备技术可行性。</w:t>
      </w:r>
    </w:p>
    <w:p>
      <w:pPr>
        <w:ind w:firstLine="420"/>
        <w:jc w:val="center"/>
      </w:pPr>
      <w:r>
        <w:drawing>
          <wp:inline distT="0" distB="0" distL="0" distR="0">
            <wp:extent cx="3435350" cy="1882140"/>
            <wp:effectExtent l="0" t="0" r="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rcRect t="10577"/>
                    <a:stretch>
                      <a:fillRect/>
                    </a:stretch>
                  </pic:blipFill>
                  <pic:spPr>
                    <a:xfrm>
                      <a:off x="0" y="0"/>
                      <a:ext cx="3450835" cy="1890650"/>
                    </a:xfrm>
                    <a:prstGeom prst="rect">
                      <a:avLst/>
                    </a:prstGeom>
                    <a:ln>
                      <a:noFill/>
                    </a:ln>
                  </pic:spPr>
                </pic:pic>
              </a:graphicData>
            </a:graphic>
          </wp:inline>
        </w:drawing>
      </w:r>
    </w:p>
    <w:p>
      <w:pPr>
        <w:ind w:firstLine="400"/>
        <w:jc w:val="center"/>
        <w:rPr>
          <w:sz w:val="20"/>
        </w:rPr>
      </w:pPr>
      <w:r>
        <w:rPr>
          <w:rFonts w:hint="eastAsia"/>
          <w:sz w:val="20"/>
        </w:rPr>
        <w:t>图1.</w:t>
      </w:r>
      <w:r>
        <w:rPr>
          <w:sz w:val="20"/>
        </w:rPr>
        <w:t xml:space="preserve"> </w:t>
      </w:r>
      <w:r>
        <w:rPr>
          <w:rFonts w:hint="eastAsia"/>
          <w:sz w:val="20"/>
        </w:rPr>
        <w:t>企业“不起火、不爆炸”技术储备情况统计</w:t>
      </w:r>
    </w:p>
    <w:p>
      <w:pPr>
        <w:spacing w:line="360" w:lineRule="auto"/>
        <w:ind w:firstLine="420"/>
        <w:jc w:val="both"/>
      </w:pPr>
      <w:r>
        <w:rPr>
          <w:rFonts w:hint="eastAsia"/>
        </w:rPr>
        <w:t>从测试执行角度，需要明确热扩散“不起火、不爆炸”的观察时间。观察时间设定需保证在观察期后起火概率极低，同时又要兼顾对测试效率的考量。一方面，GB 38031中其他系统测试项的观察时间均为2小时（见表1）。另一方面，为进一步降低观察时间后起火的概率，参考ISO 6469-1 AMD:</w:t>
      </w:r>
      <w:r>
        <w:t xml:space="preserve"> 2022</w:t>
      </w:r>
      <w:r>
        <w:rPr>
          <w:rFonts w:hint="eastAsia"/>
        </w:rPr>
        <w:t>，增加温度低于60℃的停止观察条件。即“触发电池单体热失控后，在试验环境温度下至少观察2h，且所有监测点温度均不高于60℃”。</w:t>
      </w:r>
    </w:p>
    <w:p>
      <w:pPr>
        <w:ind w:firstLine="400"/>
        <w:jc w:val="center"/>
        <w:rPr>
          <w:sz w:val="20"/>
        </w:rPr>
      </w:pPr>
      <w:r>
        <w:rPr>
          <w:rFonts w:hint="eastAsia"/>
          <w:sz w:val="20"/>
        </w:rPr>
        <w:t xml:space="preserve"> </w:t>
      </w:r>
      <w:r>
        <w:rPr>
          <w:sz w:val="20"/>
        </w:rPr>
        <w:t xml:space="preserve"> </w:t>
      </w:r>
      <w:r>
        <w:rPr>
          <w:rFonts w:hint="eastAsia"/>
          <w:sz w:val="20"/>
        </w:rPr>
        <w:t>表1：GB</w:t>
      </w:r>
      <w:r>
        <w:rPr>
          <w:sz w:val="20"/>
        </w:rPr>
        <w:t xml:space="preserve"> 38031</w:t>
      </w:r>
      <w:r>
        <w:rPr>
          <w:rFonts w:hint="eastAsia"/>
          <w:sz w:val="20"/>
        </w:rPr>
        <w:t>中系统级别测试项观察时间</w:t>
      </w:r>
    </w:p>
    <w:p>
      <w:pPr>
        <w:ind w:firstLine="420"/>
        <w:jc w:val="center"/>
      </w:pPr>
      <w:r>
        <w:drawing>
          <wp:inline distT="0" distB="0" distL="0" distR="0">
            <wp:extent cx="2405380" cy="263842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419983" cy="2654187"/>
                    </a:xfrm>
                    <a:prstGeom prst="rect">
                      <a:avLst/>
                    </a:prstGeom>
                    <a:noFill/>
                  </pic:spPr>
                </pic:pic>
              </a:graphicData>
            </a:graphic>
          </wp:inline>
        </w:drawing>
      </w:r>
    </w:p>
    <w:p>
      <w:pPr>
        <w:spacing w:line="360" w:lineRule="auto"/>
        <w:ind w:firstLine="420"/>
        <w:jc w:val="both"/>
      </w:pPr>
      <w:r>
        <w:rPr>
          <w:rFonts w:hint="eastAsia"/>
        </w:rPr>
        <w:t>对于报警信号要求，考虑到单个电池发生热失控，也会释放出热量，此时电池状态已超出正常工作状态，存在潜在的安全风险，应给予用户提醒。此外，根据行业调研情况，90%企业认为只要电池单体发生了热失控，即使不发生热扩散，也应发出报警信号。因此，要求只要触发热失控，无论是否发生热扩散，均需要提供报警信号。另外，为了电池包或系统在电池单体将要或者发生热失控时，能够尽快提醒用户，标准中对热事件报警信号的发出时间也作了要求，即“报警信号的发出时间应不晚于触发电池热失控之后的5m</w:t>
      </w:r>
      <w:r>
        <w:t>in</w:t>
      </w:r>
      <w:r>
        <w:rPr>
          <w:rFonts w:hint="eastAsia"/>
        </w:rPr>
        <w:t>”。</w:t>
      </w:r>
    </w:p>
    <w:p>
      <w:pPr>
        <w:tabs>
          <w:tab w:val="left" w:pos="720"/>
        </w:tabs>
        <w:spacing w:line="360" w:lineRule="auto"/>
        <w:ind w:firstLine="420"/>
        <w:jc w:val="both"/>
      </w:pPr>
      <w:r>
        <w:rPr>
          <w:rFonts w:hint="eastAsia"/>
        </w:rPr>
        <w:t>对于烟气相关的安全要求，在GB</w:t>
      </w:r>
      <w:r>
        <w:t xml:space="preserve"> </w:t>
      </w:r>
      <w:r>
        <w:rPr>
          <w:rFonts w:hint="eastAsia"/>
        </w:rPr>
        <w:t>38031</w:t>
      </w:r>
      <w:r>
        <w:rPr>
          <w:rFonts w:hint="eastAsia"/>
          <w:lang w:eastAsia="zh-CN"/>
        </w:rPr>
        <w:t>—</w:t>
      </w:r>
      <w:r>
        <w:rPr>
          <w:rFonts w:hint="eastAsia"/>
        </w:rPr>
        <w:t>2020、</w:t>
      </w:r>
      <w:r>
        <w:rPr>
          <w:rFonts w:hint="eastAsia"/>
          <w:lang w:val="en-US" w:eastAsia="zh-CN"/>
        </w:rPr>
        <w:t xml:space="preserve">UN </w:t>
      </w:r>
      <w:r>
        <w:rPr>
          <w:rFonts w:hint="eastAsia"/>
        </w:rPr>
        <w:t>GTR</w:t>
      </w:r>
      <w:r>
        <w:rPr>
          <w:rFonts w:hint="eastAsia"/>
          <w:lang w:val="en-US" w:eastAsia="zh-CN"/>
        </w:rPr>
        <w:t xml:space="preserve"> 20</w:t>
      </w:r>
      <w:r>
        <w:rPr>
          <w:rFonts w:hint="eastAsia"/>
        </w:rPr>
        <w:t>及修订中的UN R100中，均未对烟气进行定量化说明，考虑到在标准制定周期内难以实现定量判定，维持“可见烟气进入乘客舱”的乘员舱危险判定，并要求发出热事件报警信号之前，以及发出热事件报警信号之后的5min内无可见烟气进入乘员舱。虽然现阶段电池包或系统层级从测试角度难以评估“可见烟气进入乘客舱”时间，但仍然有必要提醒电池制造商和整车企业，在车身与电池包界面设计时，应充分考虑结构强度及界面密封强度，防止因电池热失控导致烟气进入乘客舱。因此，在标准中规定了若在电池包或系统层级试验，制造商在风险缓解功能技术文书应包括在发出热事件报警信号之前，以及发出热事件报警信号之后的5min内无可见烟气进入乘员舱的技术说明文件。</w:t>
      </w:r>
    </w:p>
    <w:p>
      <w:pPr>
        <w:spacing w:line="360" w:lineRule="auto"/>
        <w:ind w:firstLine="420"/>
        <w:jc w:val="both"/>
      </w:pPr>
      <w:r>
        <w:rPr>
          <w:rFonts w:hint="eastAsia"/>
        </w:rPr>
        <w:t>b）触发方法</w:t>
      </w:r>
    </w:p>
    <w:p>
      <w:pPr>
        <w:spacing w:line="360" w:lineRule="auto"/>
        <w:ind w:firstLine="420"/>
        <w:jc w:val="both"/>
      </w:pPr>
      <w:r>
        <w:rPr>
          <w:rFonts w:hint="eastAsia"/>
        </w:rPr>
        <w:t>研究小组经过充分研究讨论，并结合包括ISO</w:t>
      </w:r>
      <w:r>
        <w:t xml:space="preserve"> </w:t>
      </w:r>
      <w:r>
        <w:rPr>
          <w:rFonts w:hint="eastAsia"/>
        </w:rPr>
        <w:t>6469-1</w:t>
      </w:r>
      <w:r>
        <w:t xml:space="preserve"> </w:t>
      </w:r>
      <w:r>
        <w:rPr>
          <w:rFonts w:hint="eastAsia"/>
        </w:rPr>
        <w:t>AMD:</w:t>
      </w:r>
      <w:r>
        <w:t xml:space="preserve"> </w:t>
      </w:r>
      <w:r>
        <w:rPr>
          <w:rFonts w:hint="eastAsia"/>
        </w:rPr>
        <w:t>2022、UN R100等最新研究进展，对现有的针刺、外部加热方法进行了修</w:t>
      </w:r>
      <w:r>
        <w:rPr>
          <w:rFonts w:hint="eastAsia"/>
          <w:szCs w:val="21"/>
        </w:rPr>
        <w:t>改</w:t>
      </w:r>
      <w:r>
        <w:rPr>
          <w:rFonts w:hint="eastAsia"/>
        </w:rPr>
        <w:t>，同时新增内部加热方法作为热失控触发方法进行补充。</w:t>
      </w:r>
    </w:p>
    <w:p>
      <w:pPr>
        <w:spacing w:line="360" w:lineRule="auto"/>
        <w:ind w:firstLine="420"/>
        <w:jc w:val="both"/>
      </w:pPr>
      <w:r>
        <w:rPr>
          <w:rFonts w:hint="eastAsia"/>
        </w:rPr>
        <w:t>针刺触发方法中，将针刺速度由“0.1mm</w:t>
      </w:r>
      <w:r>
        <w:t>/s~10mm/s</w:t>
      </w:r>
      <w:r>
        <w:rPr>
          <w:rFonts w:hint="eastAsia"/>
        </w:rPr>
        <w:t>”改为“0.1mm/s~1mm/s”，保持与UN</w:t>
      </w:r>
      <w:r>
        <w:t xml:space="preserve"> </w:t>
      </w:r>
      <w:r>
        <w:rPr>
          <w:rFonts w:hint="eastAsia"/>
        </w:rPr>
        <w:t>R</w:t>
      </w:r>
      <w:r>
        <w:t>100</w:t>
      </w:r>
      <w:r>
        <w:rPr>
          <w:rFonts w:hint="eastAsia"/>
        </w:rPr>
        <w:t>（讨论中）的方案一致。补充了针刺停止条件：</w:t>
      </w:r>
      <w:r>
        <w:t>直至热失控，或者针刺深度达到</w:t>
      </w:r>
      <w:r>
        <w:rPr>
          <w:rFonts w:hint="eastAsia"/>
        </w:rPr>
        <w:t>触发</w:t>
      </w:r>
      <w:r>
        <w:t>电池</w:t>
      </w:r>
      <w:r>
        <w:rPr>
          <w:rFonts w:hint="eastAsia"/>
        </w:rPr>
        <w:t>单体</w:t>
      </w:r>
      <w:r>
        <w:t>的90%</w:t>
      </w:r>
      <w:r>
        <w:rPr>
          <w:rFonts w:hint="eastAsia"/>
        </w:rPr>
        <w:t>。另外，为了尽可能避免由于针刺孔排气而影响到试验结果，标准中对电池包针刺孔位置的密封要求也作了补充。</w:t>
      </w:r>
    </w:p>
    <w:p>
      <w:pPr>
        <w:spacing w:line="360" w:lineRule="auto"/>
        <w:ind w:firstLine="420"/>
        <w:jc w:val="both"/>
      </w:pPr>
      <w:r>
        <w:rPr>
          <w:rFonts w:hint="eastAsia"/>
        </w:rPr>
        <w:t>外部加热触发方法中，考虑到“</w:t>
      </w:r>
      <w:r>
        <w:t>安装完成后，</w:t>
      </w:r>
      <w:r>
        <w:rPr>
          <w:rFonts w:hint="eastAsia"/>
        </w:rPr>
        <w:t>应在24</w:t>
      </w:r>
      <w:r>
        <w:t xml:space="preserve"> </w:t>
      </w:r>
      <w:r>
        <w:rPr>
          <w:rFonts w:hint="eastAsia"/>
        </w:rPr>
        <w:t>h内</w:t>
      </w:r>
      <w:r>
        <w:t>启动加热装置</w:t>
      </w:r>
      <w:r>
        <w:rPr>
          <w:rFonts w:hint="eastAsia"/>
        </w:rPr>
        <w:t>”的要求对于测试结果影响较小，并且如果由制造商进行加热片安装，则存在客观原因难以实现原标准中24h内执行试验的要求，因此，删除“</w:t>
      </w:r>
      <w:r>
        <w:t>安装完成后，</w:t>
      </w:r>
      <w:r>
        <w:rPr>
          <w:rFonts w:hint="eastAsia"/>
        </w:rPr>
        <w:t>应在24</w:t>
      </w:r>
      <w:r>
        <w:t xml:space="preserve"> </w:t>
      </w:r>
      <w:r>
        <w:rPr>
          <w:rFonts w:hint="eastAsia"/>
        </w:rPr>
        <w:t>h内</w:t>
      </w:r>
      <w:r>
        <w:t>启动加热装置</w:t>
      </w:r>
      <w:r>
        <w:rPr>
          <w:rFonts w:hint="eastAsia"/>
        </w:rPr>
        <w:t>”的要求。</w:t>
      </w:r>
    </w:p>
    <w:p>
      <w:pPr>
        <w:spacing w:line="360" w:lineRule="auto"/>
        <w:ind w:firstLine="420"/>
        <w:jc w:val="both"/>
      </w:pPr>
      <w:r>
        <w:rPr>
          <w:rFonts w:hint="eastAsia"/>
        </w:rPr>
        <w:t>内部加热触发方法通过在电池单体内部布置加热片，在加热过程中造成电池单体内隔膜发生局部熔化产生内短路，从而触发电池单体热失控。因触发时间相对较短，可以确保额外引入的能量对电池热失控的影响最小化。</w:t>
      </w:r>
    </w:p>
    <w:p>
      <w:pPr>
        <w:spacing w:line="360" w:lineRule="auto"/>
        <w:ind w:firstLine="420"/>
        <w:jc w:val="both"/>
      </w:pPr>
      <w:r>
        <w:rPr>
          <w:rFonts w:hint="eastAsia"/>
        </w:rPr>
        <w:t>对于内部加热方法中所使用的加热片规格选定方法与使用方法的设定考量如表2所示。需额外说明的是加热片的布置位置，针对两种加热片布置位置进行验证，当加热片布置在JR内部时（ISO推荐的加热片布置方式），经验证，存在一定概率的加热片损坏，主要原因为在电池单体生产过程中，会对卷芯进行热压整形，确保隔膜与极片间的紧密贴合。但这也同时对加热片带来一定程度的破坏，如图2所示。因此，优先选择将加热片布置在JR表面。</w:t>
      </w:r>
    </w:p>
    <w:p>
      <w:pPr>
        <w:ind w:firstLine="400"/>
        <w:jc w:val="center"/>
        <w:rPr>
          <w:sz w:val="20"/>
        </w:rPr>
      </w:pPr>
      <w:r>
        <w:rPr>
          <w:rFonts w:hint="eastAsia"/>
          <w:sz w:val="20"/>
        </w:rPr>
        <w:t>表2：加热片规格说明及使用指南</w:t>
      </w:r>
    </w:p>
    <w:tbl>
      <w:tblPr>
        <w:tblStyle w:val="9"/>
        <w:tblW w:w="8385" w:type="dxa"/>
        <w:jc w:val="center"/>
        <w:tblLayout w:type="autofit"/>
        <w:tblCellMar>
          <w:top w:w="0" w:type="dxa"/>
          <w:left w:w="108" w:type="dxa"/>
          <w:bottom w:w="0" w:type="dxa"/>
          <w:right w:w="108" w:type="dxa"/>
        </w:tblCellMar>
      </w:tblPr>
      <w:tblGrid>
        <w:gridCol w:w="988"/>
        <w:gridCol w:w="992"/>
        <w:gridCol w:w="2693"/>
        <w:gridCol w:w="3712"/>
      </w:tblGrid>
      <w:tr>
        <w:tblPrEx>
          <w:tblCellMar>
            <w:top w:w="0" w:type="dxa"/>
            <w:left w:w="108" w:type="dxa"/>
            <w:bottom w:w="0" w:type="dxa"/>
            <w:right w:w="108" w:type="dxa"/>
          </w:tblCellMar>
        </w:tblPrEx>
        <w:trPr>
          <w:trHeight w:val="266" w:hRule="atLeast"/>
          <w:jc w:val="center"/>
        </w:trPr>
        <w:tc>
          <w:tcPr>
            <w:tcW w:w="1980" w:type="dxa"/>
            <w:gridSpan w:val="2"/>
            <w:tcBorders>
              <w:top w:val="single" w:color="auto" w:sz="4" w:space="0"/>
              <w:left w:val="single" w:color="auto" w:sz="4" w:space="0"/>
              <w:bottom w:val="single" w:color="auto" w:sz="4" w:space="0"/>
              <w:right w:val="single" w:color="auto" w:sz="4" w:space="0"/>
            </w:tcBorders>
          </w:tcPr>
          <w:p>
            <w:pPr>
              <w:ind w:firstLine="361"/>
              <w:jc w:val="center"/>
              <w:rPr>
                <w:sz w:val="18"/>
                <w:szCs w:val="18"/>
              </w:rPr>
            </w:pPr>
            <w:r>
              <w:rPr>
                <w:rFonts w:hint="eastAsia"/>
                <w:sz w:val="18"/>
                <w:szCs w:val="18"/>
              </w:rPr>
              <w:t>内部加热</w:t>
            </w:r>
          </w:p>
        </w:tc>
        <w:tc>
          <w:tcPr>
            <w:tcW w:w="2693"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361"/>
              <w:jc w:val="center"/>
              <w:rPr>
                <w:sz w:val="18"/>
                <w:szCs w:val="18"/>
              </w:rPr>
            </w:pPr>
            <w:r>
              <w:rPr>
                <w:rFonts w:hint="eastAsia"/>
                <w:sz w:val="18"/>
                <w:szCs w:val="18"/>
              </w:rPr>
              <w:t>参数/说明</w:t>
            </w:r>
          </w:p>
        </w:tc>
        <w:tc>
          <w:tcPr>
            <w:tcW w:w="3712" w:type="dxa"/>
            <w:tcBorders>
              <w:top w:val="single" w:color="auto" w:sz="4" w:space="0"/>
              <w:left w:val="single" w:color="auto" w:sz="4" w:space="0"/>
              <w:bottom w:val="single" w:color="auto" w:sz="4" w:space="0"/>
              <w:right w:val="single" w:color="auto" w:sz="4" w:space="0"/>
            </w:tcBorders>
          </w:tcPr>
          <w:p>
            <w:pPr>
              <w:ind w:firstLine="361"/>
              <w:jc w:val="center"/>
              <w:rPr>
                <w:sz w:val="18"/>
                <w:szCs w:val="18"/>
              </w:rPr>
            </w:pPr>
            <w:r>
              <w:rPr>
                <w:rFonts w:hint="eastAsia"/>
                <w:sz w:val="18"/>
                <w:szCs w:val="18"/>
              </w:rPr>
              <w:t>考量</w:t>
            </w:r>
          </w:p>
        </w:tc>
      </w:tr>
      <w:tr>
        <w:tblPrEx>
          <w:tblCellMar>
            <w:top w:w="0" w:type="dxa"/>
            <w:left w:w="108" w:type="dxa"/>
            <w:bottom w:w="0" w:type="dxa"/>
            <w:right w:w="108" w:type="dxa"/>
          </w:tblCellMar>
        </w:tblPrEx>
        <w:trPr>
          <w:trHeight w:val="264" w:hRule="atLeast"/>
          <w:jc w:val="center"/>
        </w:trPr>
        <w:tc>
          <w:tcPr>
            <w:tcW w:w="988" w:type="dxa"/>
            <w:vMerge w:val="restart"/>
            <w:tcBorders>
              <w:top w:val="nil"/>
              <w:left w:val="single" w:color="auto" w:sz="4" w:space="0"/>
              <w:right w:val="single" w:color="auto" w:sz="4" w:space="0"/>
            </w:tcBorders>
            <w:vAlign w:val="center"/>
          </w:tcPr>
          <w:p>
            <w:pPr>
              <w:spacing w:line="276" w:lineRule="auto"/>
              <w:rPr>
                <w:sz w:val="18"/>
                <w:szCs w:val="18"/>
              </w:rPr>
            </w:pPr>
            <w:r>
              <w:rPr>
                <w:rFonts w:hint="eastAsia"/>
                <w:sz w:val="18"/>
                <w:szCs w:val="18"/>
              </w:rPr>
              <w:t>加热片规格</w:t>
            </w:r>
          </w:p>
        </w:tc>
        <w:tc>
          <w:tcPr>
            <w:tcW w:w="992"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18"/>
                <w:szCs w:val="18"/>
              </w:rPr>
            </w:pPr>
            <w:r>
              <w:rPr>
                <w:rFonts w:hint="eastAsia"/>
                <w:sz w:val="18"/>
                <w:szCs w:val="18"/>
              </w:rPr>
              <w:t>材质</w:t>
            </w:r>
          </w:p>
        </w:tc>
        <w:tc>
          <w:tcPr>
            <w:tcW w:w="2693"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sz w:val="18"/>
                <w:szCs w:val="18"/>
              </w:rPr>
            </w:pPr>
            <w:r>
              <w:rPr>
                <w:rFonts w:hint="eastAsia"/>
                <w:sz w:val="18"/>
                <w:szCs w:val="18"/>
              </w:rPr>
              <w:t>Cu+绝缘层，或其他合适的电阻加热元件</w:t>
            </w:r>
          </w:p>
        </w:tc>
        <w:tc>
          <w:tcPr>
            <w:tcW w:w="3712" w:type="dxa"/>
            <w:tcBorders>
              <w:top w:val="nil"/>
              <w:left w:val="single" w:color="auto" w:sz="4" w:space="0"/>
              <w:bottom w:val="single" w:color="auto" w:sz="4" w:space="0"/>
              <w:right w:val="single" w:color="auto" w:sz="4" w:space="0"/>
            </w:tcBorders>
            <w:vAlign w:val="center"/>
          </w:tcPr>
          <w:p>
            <w:pPr>
              <w:spacing w:line="276" w:lineRule="auto"/>
              <w:rPr>
                <w:sz w:val="18"/>
                <w:szCs w:val="18"/>
              </w:rPr>
            </w:pPr>
            <w:r>
              <w:rPr>
                <w:rFonts w:hint="eastAsia"/>
                <w:sz w:val="18"/>
                <w:szCs w:val="18"/>
              </w:rPr>
              <w:t>目的是能够成功触发。因此推荐已验证的加热片，同时不限制其他材质加热片</w:t>
            </w:r>
          </w:p>
        </w:tc>
      </w:tr>
      <w:tr>
        <w:tblPrEx>
          <w:tblCellMar>
            <w:top w:w="0" w:type="dxa"/>
            <w:left w:w="108" w:type="dxa"/>
            <w:bottom w:w="0" w:type="dxa"/>
            <w:right w:w="108" w:type="dxa"/>
          </w:tblCellMar>
        </w:tblPrEx>
        <w:trPr>
          <w:trHeight w:val="264" w:hRule="atLeast"/>
          <w:jc w:val="center"/>
        </w:trPr>
        <w:tc>
          <w:tcPr>
            <w:tcW w:w="988" w:type="dxa"/>
            <w:vMerge w:val="continue"/>
            <w:tcBorders>
              <w:left w:val="single" w:color="auto" w:sz="4" w:space="0"/>
              <w:right w:val="single" w:color="auto" w:sz="4" w:space="0"/>
            </w:tcBorders>
          </w:tcPr>
          <w:p>
            <w:pPr>
              <w:spacing w:line="276" w:lineRule="auto"/>
              <w:rPr>
                <w:sz w:val="18"/>
                <w:szCs w:val="18"/>
              </w:rPr>
            </w:pPr>
          </w:p>
        </w:tc>
        <w:tc>
          <w:tcPr>
            <w:tcW w:w="992"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18"/>
                <w:szCs w:val="18"/>
              </w:rPr>
            </w:pPr>
            <w:r>
              <w:rPr>
                <w:rFonts w:hint="eastAsia"/>
                <w:sz w:val="18"/>
                <w:szCs w:val="18"/>
              </w:rPr>
              <w:t>面积</w:t>
            </w:r>
          </w:p>
        </w:tc>
        <w:tc>
          <w:tcPr>
            <w:tcW w:w="2693"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sz w:val="18"/>
                <w:szCs w:val="18"/>
              </w:rPr>
            </w:pPr>
            <w:r>
              <w:rPr>
                <w:rFonts w:hint="eastAsia"/>
                <w:sz w:val="18"/>
                <w:szCs w:val="18"/>
              </w:rPr>
              <w:t>50mm*50mm~15mm*15mm</w:t>
            </w:r>
          </w:p>
        </w:tc>
        <w:tc>
          <w:tcPr>
            <w:tcW w:w="3712" w:type="dxa"/>
            <w:tcBorders>
              <w:top w:val="nil"/>
              <w:left w:val="single" w:color="auto" w:sz="4" w:space="0"/>
              <w:bottom w:val="single" w:color="auto" w:sz="4" w:space="0"/>
              <w:right w:val="single" w:color="auto" w:sz="4" w:space="0"/>
            </w:tcBorders>
            <w:vAlign w:val="center"/>
          </w:tcPr>
          <w:p>
            <w:pPr>
              <w:spacing w:line="276" w:lineRule="auto"/>
              <w:rPr>
                <w:sz w:val="18"/>
                <w:szCs w:val="18"/>
              </w:rPr>
            </w:pPr>
            <w:r>
              <w:rPr>
                <w:rFonts w:hint="eastAsia"/>
                <w:sz w:val="18"/>
                <w:szCs w:val="18"/>
              </w:rPr>
              <w:t>加热片尺寸应控制在一定范围内，确保热量集中于局部以快速触发电池热失控</w:t>
            </w:r>
          </w:p>
        </w:tc>
      </w:tr>
      <w:tr>
        <w:tblPrEx>
          <w:tblCellMar>
            <w:top w:w="0" w:type="dxa"/>
            <w:left w:w="108" w:type="dxa"/>
            <w:bottom w:w="0" w:type="dxa"/>
            <w:right w:w="108" w:type="dxa"/>
          </w:tblCellMar>
        </w:tblPrEx>
        <w:trPr>
          <w:trHeight w:val="264" w:hRule="atLeast"/>
          <w:jc w:val="center"/>
        </w:trPr>
        <w:tc>
          <w:tcPr>
            <w:tcW w:w="988" w:type="dxa"/>
            <w:vMerge w:val="continue"/>
            <w:tcBorders>
              <w:left w:val="single" w:color="auto" w:sz="4" w:space="0"/>
              <w:right w:val="single" w:color="auto" w:sz="4" w:space="0"/>
            </w:tcBorders>
          </w:tcPr>
          <w:p>
            <w:pPr>
              <w:spacing w:line="276" w:lineRule="auto"/>
              <w:rPr>
                <w:sz w:val="18"/>
                <w:szCs w:val="18"/>
              </w:rPr>
            </w:pPr>
          </w:p>
        </w:tc>
        <w:tc>
          <w:tcPr>
            <w:tcW w:w="992"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18"/>
                <w:szCs w:val="18"/>
              </w:rPr>
            </w:pPr>
            <w:r>
              <w:rPr>
                <w:rFonts w:hint="eastAsia"/>
                <w:sz w:val="18"/>
                <w:szCs w:val="18"/>
              </w:rPr>
              <w:t>厚度</w:t>
            </w:r>
          </w:p>
        </w:tc>
        <w:tc>
          <w:tcPr>
            <w:tcW w:w="2693"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sz w:val="18"/>
                <w:szCs w:val="18"/>
              </w:rPr>
            </w:pPr>
            <w:r>
              <w:rPr>
                <w:rFonts w:hint="eastAsia"/>
                <w:sz w:val="18"/>
                <w:szCs w:val="18"/>
              </w:rPr>
              <w:t>≤0.5mm</w:t>
            </w:r>
          </w:p>
        </w:tc>
        <w:tc>
          <w:tcPr>
            <w:tcW w:w="3712" w:type="dxa"/>
            <w:tcBorders>
              <w:top w:val="nil"/>
              <w:left w:val="single" w:color="auto" w:sz="4" w:space="0"/>
              <w:bottom w:val="single" w:color="auto" w:sz="4" w:space="0"/>
              <w:right w:val="single" w:color="auto" w:sz="4" w:space="0"/>
            </w:tcBorders>
            <w:vAlign w:val="center"/>
          </w:tcPr>
          <w:p>
            <w:pPr>
              <w:spacing w:line="276" w:lineRule="auto"/>
              <w:rPr>
                <w:sz w:val="18"/>
                <w:szCs w:val="18"/>
              </w:rPr>
            </w:pPr>
            <w:r>
              <w:rPr>
                <w:rFonts w:hint="eastAsia"/>
                <w:sz w:val="18"/>
                <w:szCs w:val="18"/>
              </w:rPr>
              <w:t>加热片厚度需控制在一定范围内，避免对卷芯入壳或性能带来影响</w:t>
            </w:r>
          </w:p>
        </w:tc>
      </w:tr>
      <w:tr>
        <w:tblPrEx>
          <w:tblCellMar>
            <w:top w:w="0" w:type="dxa"/>
            <w:left w:w="108" w:type="dxa"/>
            <w:bottom w:w="0" w:type="dxa"/>
            <w:right w:w="108" w:type="dxa"/>
          </w:tblCellMar>
        </w:tblPrEx>
        <w:trPr>
          <w:trHeight w:val="212" w:hRule="atLeast"/>
          <w:jc w:val="center"/>
        </w:trPr>
        <w:tc>
          <w:tcPr>
            <w:tcW w:w="988" w:type="dxa"/>
            <w:vMerge w:val="continue"/>
            <w:tcBorders>
              <w:left w:val="single" w:color="auto" w:sz="4" w:space="0"/>
              <w:right w:val="single" w:color="auto" w:sz="4" w:space="0"/>
            </w:tcBorders>
          </w:tcPr>
          <w:p>
            <w:pPr>
              <w:spacing w:line="276" w:lineRule="auto"/>
              <w:rPr>
                <w:sz w:val="18"/>
                <w:szCs w:val="18"/>
              </w:rPr>
            </w:pPr>
          </w:p>
        </w:tc>
        <w:tc>
          <w:tcPr>
            <w:tcW w:w="992"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18"/>
                <w:szCs w:val="18"/>
              </w:rPr>
            </w:pPr>
            <w:r>
              <w:rPr>
                <w:rFonts w:hint="eastAsia"/>
                <w:sz w:val="18"/>
                <w:szCs w:val="18"/>
              </w:rPr>
              <w:t>电阻</w:t>
            </w:r>
          </w:p>
        </w:tc>
        <w:tc>
          <w:tcPr>
            <w:tcW w:w="2693"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sz w:val="18"/>
                <w:szCs w:val="18"/>
              </w:rPr>
            </w:pPr>
            <w:r>
              <w:rPr>
                <w:rFonts w:hint="eastAsia"/>
                <w:sz w:val="18"/>
                <w:szCs w:val="18"/>
              </w:rPr>
              <w:t>不做限制</w:t>
            </w:r>
          </w:p>
        </w:tc>
        <w:tc>
          <w:tcPr>
            <w:tcW w:w="3712" w:type="dxa"/>
            <w:tcBorders>
              <w:top w:val="nil"/>
              <w:left w:val="single" w:color="auto" w:sz="4" w:space="0"/>
              <w:bottom w:val="single" w:color="auto" w:sz="4" w:space="0"/>
              <w:right w:val="single" w:color="auto" w:sz="4" w:space="0"/>
            </w:tcBorders>
            <w:vAlign w:val="center"/>
          </w:tcPr>
          <w:p>
            <w:pPr>
              <w:spacing w:line="276" w:lineRule="auto"/>
              <w:rPr>
                <w:sz w:val="18"/>
                <w:szCs w:val="18"/>
              </w:rPr>
            </w:pPr>
            <w:r>
              <w:rPr>
                <w:rFonts w:hint="eastAsia"/>
                <w:sz w:val="18"/>
                <w:szCs w:val="18"/>
              </w:rPr>
              <w:t>参考加热板定义方式，仅对加热功率作推荐</w:t>
            </w:r>
          </w:p>
        </w:tc>
      </w:tr>
      <w:tr>
        <w:tblPrEx>
          <w:tblCellMar>
            <w:top w:w="0" w:type="dxa"/>
            <w:left w:w="108" w:type="dxa"/>
            <w:bottom w:w="0" w:type="dxa"/>
            <w:right w:w="108" w:type="dxa"/>
          </w:tblCellMar>
        </w:tblPrEx>
        <w:trPr>
          <w:trHeight w:val="841" w:hRule="atLeast"/>
          <w:jc w:val="center"/>
        </w:trPr>
        <w:tc>
          <w:tcPr>
            <w:tcW w:w="988" w:type="dxa"/>
            <w:vMerge w:val="continue"/>
            <w:tcBorders>
              <w:left w:val="single" w:color="auto" w:sz="4" w:space="0"/>
              <w:bottom w:val="single" w:color="auto" w:sz="4" w:space="0"/>
              <w:right w:val="single" w:color="auto" w:sz="4" w:space="0"/>
            </w:tcBorders>
          </w:tcPr>
          <w:p>
            <w:pPr>
              <w:spacing w:line="276" w:lineRule="auto"/>
              <w:rPr>
                <w:sz w:val="18"/>
                <w:szCs w:val="18"/>
              </w:rPr>
            </w:pPr>
          </w:p>
        </w:tc>
        <w:tc>
          <w:tcPr>
            <w:tcW w:w="992"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18"/>
                <w:szCs w:val="18"/>
              </w:rPr>
            </w:pPr>
            <w:r>
              <w:rPr>
                <w:rFonts w:hint="eastAsia"/>
                <w:sz w:val="18"/>
                <w:szCs w:val="18"/>
              </w:rPr>
              <w:t>功率</w:t>
            </w:r>
          </w:p>
        </w:tc>
        <w:tc>
          <w:tcPr>
            <w:tcW w:w="2693" w:type="dxa"/>
            <w:tcBorders>
              <w:top w:val="nil"/>
              <w:left w:val="single" w:color="auto" w:sz="4" w:space="0"/>
              <w:bottom w:val="single" w:color="auto" w:sz="4" w:space="0"/>
              <w:right w:val="single" w:color="auto" w:sz="4" w:space="0"/>
            </w:tcBorders>
            <w:shd w:val="clear" w:color="auto" w:fill="auto"/>
            <w:vAlign w:val="center"/>
          </w:tcPr>
          <w:p>
            <w:pPr>
              <w:spacing w:line="276" w:lineRule="auto"/>
              <w:rPr>
                <w:sz w:val="18"/>
                <w:szCs w:val="18"/>
              </w:rPr>
            </w:pPr>
            <w:r>
              <w:rPr>
                <w:sz w:val="18"/>
                <w:szCs w:val="18"/>
              </w:rPr>
              <w:t>150W~700W</w:t>
            </w:r>
          </w:p>
        </w:tc>
        <w:tc>
          <w:tcPr>
            <w:tcW w:w="3712" w:type="dxa"/>
            <w:tcBorders>
              <w:top w:val="nil"/>
              <w:left w:val="single" w:color="auto" w:sz="4" w:space="0"/>
              <w:bottom w:val="single" w:color="auto" w:sz="4" w:space="0"/>
              <w:right w:val="single" w:color="auto" w:sz="4" w:space="0"/>
            </w:tcBorders>
            <w:vAlign w:val="center"/>
          </w:tcPr>
          <w:p>
            <w:pPr>
              <w:spacing w:line="276" w:lineRule="auto"/>
              <w:rPr>
                <w:sz w:val="18"/>
                <w:szCs w:val="18"/>
              </w:rPr>
            </w:pPr>
            <w:r>
              <w:rPr>
                <w:rFonts w:hint="eastAsia"/>
                <w:sz w:val="18"/>
                <w:szCs w:val="18"/>
              </w:rPr>
              <w:t>考虑不同体系电芯的热稳定性存在差异，加热功率设定与化学体系相关</w:t>
            </w:r>
          </w:p>
        </w:tc>
      </w:tr>
      <w:tr>
        <w:tblPrEx>
          <w:tblCellMar>
            <w:top w:w="0" w:type="dxa"/>
            <w:left w:w="108" w:type="dxa"/>
            <w:bottom w:w="0" w:type="dxa"/>
            <w:right w:w="108" w:type="dxa"/>
          </w:tblCellMar>
        </w:tblPrEx>
        <w:trPr>
          <w:trHeight w:val="264" w:hRule="atLeast"/>
          <w:jc w:val="center"/>
        </w:trPr>
        <w:tc>
          <w:tcPr>
            <w:tcW w:w="988" w:type="dxa"/>
            <w:vMerge w:val="restart"/>
            <w:tcBorders>
              <w:top w:val="nil"/>
              <w:left w:val="single" w:color="auto" w:sz="4" w:space="0"/>
              <w:right w:val="single" w:color="auto" w:sz="4" w:space="0"/>
            </w:tcBorders>
            <w:vAlign w:val="center"/>
          </w:tcPr>
          <w:p>
            <w:pPr>
              <w:spacing w:line="276" w:lineRule="auto"/>
              <w:rPr>
                <w:sz w:val="18"/>
                <w:szCs w:val="18"/>
              </w:rPr>
            </w:pPr>
            <w:r>
              <w:rPr>
                <w:rFonts w:hint="eastAsia"/>
                <w:sz w:val="18"/>
                <w:szCs w:val="18"/>
              </w:rPr>
              <w:t>使用方法</w:t>
            </w:r>
          </w:p>
        </w:tc>
        <w:tc>
          <w:tcPr>
            <w:tcW w:w="992"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18"/>
                <w:szCs w:val="18"/>
              </w:rPr>
            </w:pPr>
            <w:r>
              <w:rPr>
                <w:rFonts w:hint="eastAsia"/>
                <w:sz w:val="18"/>
                <w:szCs w:val="18"/>
              </w:rPr>
              <w:t>布置位置</w:t>
            </w:r>
          </w:p>
        </w:tc>
        <w:tc>
          <w:tcPr>
            <w:tcW w:w="2693" w:type="dxa"/>
            <w:tcBorders>
              <w:top w:val="nil"/>
              <w:left w:val="single" w:color="auto" w:sz="4" w:space="0"/>
              <w:bottom w:val="single" w:color="auto" w:sz="4" w:space="0"/>
              <w:right w:val="single" w:color="auto" w:sz="4" w:space="0"/>
            </w:tcBorders>
            <w:shd w:val="clear" w:color="auto" w:fill="auto"/>
            <w:vAlign w:val="center"/>
          </w:tcPr>
          <w:p>
            <w:pPr>
              <w:spacing w:line="276" w:lineRule="auto"/>
              <w:rPr>
                <w:sz w:val="18"/>
                <w:szCs w:val="18"/>
              </w:rPr>
            </w:pPr>
            <w:r>
              <w:rPr>
                <w:rFonts w:hint="eastAsia"/>
                <w:sz w:val="18"/>
                <w:szCs w:val="18"/>
              </w:rPr>
              <w:t>卷芯表面</w:t>
            </w:r>
          </w:p>
        </w:tc>
        <w:tc>
          <w:tcPr>
            <w:tcW w:w="3712" w:type="dxa"/>
            <w:tcBorders>
              <w:top w:val="nil"/>
              <w:left w:val="single" w:color="auto" w:sz="4" w:space="0"/>
              <w:bottom w:val="single" w:color="auto" w:sz="4" w:space="0"/>
              <w:right w:val="single" w:color="auto" w:sz="4" w:space="0"/>
            </w:tcBorders>
            <w:vAlign w:val="center"/>
          </w:tcPr>
          <w:p>
            <w:pPr>
              <w:spacing w:line="276" w:lineRule="auto"/>
              <w:rPr>
                <w:sz w:val="18"/>
                <w:szCs w:val="18"/>
              </w:rPr>
            </w:pPr>
            <w:r>
              <w:rPr>
                <w:rFonts w:hint="eastAsia"/>
                <w:sz w:val="18"/>
                <w:szCs w:val="18"/>
              </w:rPr>
              <w:t>ISO推荐方法在制造过程中存在难度，失效率高</w:t>
            </w:r>
          </w:p>
        </w:tc>
      </w:tr>
      <w:tr>
        <w:tblPrEx>
          <w:tblCellMar>
            <w:top w:w="0" w:type="dxa"/>
            <w:left w:w="108" w:type="dxa"/>
            <w:bottom w:w="0" w:type="dxa"/>
            <w:right w:w="108" w:type="dxa"/>
          </w:tblCellMar>
        </w:tblPrEx>
        <w:trPr>
          <w:trHeight w:val="264" w:hRule="atLeast"/>
          <w:jc w:val="center"/>
        </w:trPr>
        <w:tc>
          <w:tcPr>
            <w:tcW w:w="988" w:type="dxa"/>
            <w:vMerge w:val="continue"/>
            <w:tcBorders>
              <w:left w:val="single" w:color="auto" w:sz="4" w:space="0"/>
              <w:right w:val="single" w:color="auto" w:sz="4" w:space="0"/>
            </w:tcBorders>
          </w:tcPr>
          <w:p>
            <w:pPr>
              <w:spacing w:line="276" w:lineRule="auto"/>
              <w:ind w:firstLine="360"/>
              <w:jc w:val="center"/>
              <w:rPr>
                <w:sz w:val="18"/>
                <w:szCs w:val="18"/>
              </w:rPr>
            </w:pPr>
          </w:p>
        </w:tc>
        <w:tc>
          <w:tcPr>
            <w:tcW w:w="992"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18"/>
                <w:szCs w:val="18"/>
              </w:rPr>
            </w:pPr>
            <w:r>
              <w:rPr>
                <w:rFonts w:hint="eastAsia"/>
                <w:sz w:val="18"/>
                <w:szCs w:val="18"/>
              </w:rPr>
              <w:t>引线孔密封</w:t>
            </w:r>
          </w:p>
        </w:tc>
        <w:tc>
          <w:tcPr>
            <w:tcW w:w="2693" w:type="dxa"/>
            <w:tcBorders>
              <w:top w:val="nil"/>
              <w:left w:val="single" w:color="auto" w:sz="4" w:space="0"/>
              <w:bottom w:val="single" w:color="auto" w:sz="4" w:space="0"/>
              <w:right w:val="single" w:color="auto" w:sz="4" w:space="0"/>
            </w:tcBorders>
            <w:shd w:val="clear" w:color="auto" w:fill="auto"/>
            <w:vAlign w:val="center"/>
          </w:tcPr>
          <w:p>
            <w:pPr>
              <w:spacing w:line="276" w:lineRule="auto"/>
              <w:rPr>
                <w:sz w:val="18"/>
                <w:szCs w:val="18"/>
              </w:rPr>
            </w:pPr>
            <w:r>
              <w:rPr>
                <w:rFonts w:hint="eastAsia"/>
                <w:sz w:val="18"/>
                <w:szCs w:val="18"/>
              </w:rPr>
              <w:t>树脂胶，如环氧树脂，或者合适的结构密封方式</w:t>
            </w:r>
            <w:r>
              <w:rPr>
                <w:sz w:val="18"/>
                <w:szCs w:val="18"/>
              </w:rPr>
              <w:t xml:space="preserve"> </w:t>
            </w:r>
          </w:p>
        </w:tc>
        <w:tc>
          <w:tcPr>
            <w:tcW w:w="3712" w:type="dxa"/>
            <w:tcBorders>
              <w:top w:val="nil"/>
              <w:left w:val="single" w:color="auto" w:sz="4" w:space="0"/>
              <w:bottom w:val="single" w:color="auto" w:sz="4" w:space="0"/>
              <w:right w:val="single" w:color="auto" w:sz="4" w:space="0"/>
            </w:tcBorders>
            <w:vAlign w:val="center"/>
          </w:tcPr>
          <w:p>
            <w:pPr>
              <w:spacing w:line="276" w:lineRule="auto"/>
              <w:rPr>
                <w:sz w:val="18"/>
                <w:szCs w:val="18"/>
              </w:rPr>
            </w:pPr>
            <w:r>
              <w:rPr>
                <w:rFonts w:hint="eastAsia"/>
                <w:sz w:val="18"/>
                <w:szCs w:val="18"/>
              </w:rPr>
              <w:t>在电解液环境下可以同时保持与金属盖板及加热片绝缘层之间的良好粘接特性，或使用其他合适的结构密封件实现相同功能。</w:t>
            </w:r>
          </w:p>
        </w:tc>
      </w:tr>
      <w:tr>
        <w:tblPrEx>
          <w:tblCellMar>
            <w:top w:w="0" w:type="dxa"/>
            <w:left w:w="108" w:type="dxa"/>
            <w:bottom w:w="0" w:type="dxa"/>
            <w:right w:w="108" w:type="dxa"/>
          </w:tblCellMar>
        </w:tblPrEx>
        <w:trPr>
          <w:trHeight w:val="264" w:hRule="atLeast"/>
          <w:jc w:val="center"/>
        </w:trPr>
        <w:tc>
          <w:tcPr>
            <w:tcW w:w="988" w:type="dxa"/>
            <w:vMerge w:val="continue"/>
            <w:tcBorders>
              <w:left w:val="single" w:color="auto" w:sz="4" w:space="0"/>
              <w:bottom w:val="single" w:color="auto" w:sz="4" w:space="0"/>
              <w:right w:val="single" w:color="auto" w:sz="4" w:space="0"/>
            </w:tcBorders>
          </w:tcPr>
          <w:p>
            <w:pPr>
              <w:spacing w:line="276" w:lineRule="auto"/>
              <w:ind w:firstLine="360"/>
              <w:jc w:val="center"/>
              <w:rPr>
                <w:sz w:val="18"/>
                <w:szCs w:val="18"/>
              </w:rPr>
            </w:pPr>
          </w:p>
        </w:tc>
        <w:tc>
          <w:tcPr>
            <w:tcW w:w="992"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18"/>
                <w:szCs w:val="18"/>
              </w:rPr>
            </w:pPr>
            <w:r>
              <w:rPr>
                <w:rFonts w:hint="eastAsia"/>
                <w:sz w:val="18"/>
                <w:szCs w:val="18"/>
              </w:rPr>
              <w:t>停止加热条件</w:t>
            </w:r>
          </w:p>
        </w:tc>
        <w:tc>
          <w:tcPr>
            <w:tcW w:w="2693" w:type="dxa"/>
            <w:tcBorders>
              <w:top w:val="nil"/>
              <w:left w:val="single" w:color="auto" w:sz="4" w:space="0"/>
              <w:bottom w:val="single" w:color="auto" w:sz="4" w:space="0"/>
              <w:right w:val="single" w:color="auto" w:sz="4" w:space="0"/>
            </w:tcBorders>
            <w:shd w:val="clear" w:color="auto" w:fill="auto"/>
            <w:vAlign w:val="center"/>
          </w:tcPr>
          <w:p>
            <w:pPr>
              <w:spacing w:line="276" w:lineRule="auto"/>
              <w:rPr>
                <w:sz w:val="18"/>
                <w:szCs w:val="18"/>
              </w:rPr>
            </w:pPr>
            <w:r>
              <w:rPr>
                <w:rFonts w:hint="eastAsia"/>
                <w:sz w:val="18"/>
                <w:szCs w:val="18"/>
              </w:rPr>
              <w:t>发生热失控</w:t>
            </w:r>
          </w:p>
        </w:tc>
        <w:tc>
          <w:tcPr>
            <w:tcW w:w="3712" w:type="dxa"/>
            <w:tcBorders>
              <w:top w:val="nil"/>
              <w:left w:val="single" w:color="auto" w:sz="4" w:space="0"/>
              <w:bottom w:val="single" w:color="auto" w:sz="4" w:space="0"/>
              <w:right w:val="single" w:color="auto" w:sz="4" w:space="0"/>
            </w:tcBorders>
            <w:vAlign w:val="center"/>
          </w:tcPr>
          <w:p>
            <w:pPr>
              <w:spacing w:line="276" w:lineRule="auto"/>
              <w:rPr>
                <w:sz w:val="18"/>
                <w:szCs w:val="18"/>
              </w:rPr>
            </w:pPr>
          </w:p>
        </w:tc>
      </w:tr>
    </w:tbl>
    <w:p>
      <w:pPr>
        <w:ind w:firstLine="420"/>
      </w:pPr>
      <w:r>
        <w:tab/>
      </w:r>
    </w:p>
    <w:p>
      <w:pPr>
        <w:spacing w:line="360" w:lineRule="auto"/>
        <w:ind w:firstLine="420"/>
        <w:jc w:val="both"/>
      </w:pPr>
      <w:r>
        <w:rPr>
          <w:rFonts w:hint="eastAsia"/>
        </w:rPr>
        <w:t>研究小组分别选用额定能量~550Wh的三元电池（N</w:t>
      </w:r>
      <w:r>
        <w:t>CM</w:t>
      </w:r>
      <w:r>
        <w:rPr>
          <w:rFonts w:hint="eastAsia"/>
        </w:rPr>
        <w:t>）与磷酸铁锂电池（LFP）电池作为试验对象，并以300W加热功率对电芯进行加热，试验结果如图2。实验结果显示，NCM电池在32s内发生热失控，额外注入能量&lt;</w:t>
      </w:r>
      <w:r>
        <w:t>0.5%</w:t>
      </w:r>
      <w:r>
        <w:rPr>
          <w:rFonts w:hint="eastAsia"/>
        </w:rPr>
        <w:t>，监控点温度在触发前温升&lt;</w:t>
      </w:r>
      <w:r>
        <w:t>0.5</w:t>
      </w:r>
      <w:r>
        <w:rPr>
          <w:rFonts w:hint="eastAsia"/>
        </w:rPr>
        <w:t>℃。LFP电池可在90s内发生热失控，额外注入能量&lt;</w:t>
      </w:r>
      <w:r>
        <w:t>1%</w:t>
      </w:r>
      <w:r>
        <w:rPr>
          <w:rFonts w:hint="eastAsia"/>
        </w:rPr>
        <w:t>，监控点温度在触发前温升&lt;</w:t>
      </w:r>
      <w:r>
        <w:t>0.5</w:t>
      </w:r>
      <w:r>
        <w:rPr>
          <w:rFonts w:hint="eastAsia"/>
        </w:rPr>
        <w:t>℃。</w:t>
      </w:r>
    </w:p>
    <w:p>
      <w:pPr>
        <w:ind w:firstLine="420"/>
        <w:jc w:val="center"/>
      </w:pPr>
      <w:r>
        <w:drawing>
          <wp:inline distT="0" distB="0" distL="0" distR="0">
            <wp:extent cx="3629025" cy="20231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642455" cy="2030958"/>
                    </a:xfrm>
                    <a:prstGeom prst="rect">
                      <a:avLst/>
                    </a:prstGeom>
                    <a:noFill/>
                  </pic:spPr>
                </pic:pic>
              </a:graphicData>
            </a:graphic>
          </wp:inline>
        </w:drawing>
      </w:r>
    </w:p>
    <w:p>
      <w:pPr>
        <w:ind w:firstLine="420"/>
        <w:jc w:val="center"/>
        <w:rPr>
          <w:sz w:val="20"/>
        </w:rPr>
      </w:pPr>
      <w:r>
        <w:rPr>
          <w:rFonts w:hint="eastAsia"/>
          <w:sz w:val="20"/>
        </w:rPr>
        <w:t>(</w:t>
      </w:r>
      <w:r>
        <w:rPr>
          <w:sz w:val="20"/>
        </w:rPr>
        <w:t xml:space="preserve">a) </w:t>
      </w:r>
      <w:r>
        <w:rPr>
          <w:rFonts w:hint="eastAsia"/>
          <w:sz w:val="20"/>
        </w:rPr>
        <w:t>NCM电池</w:t>
      </w:r>
    </w:p>
    <w:p>
      <w:pPr>
        <w:ind w:firstLine="420"/>
        <w:jc w:val="center"/>
      </w:pPr>
      <w:r>
        <w:drawing>
          <wp:inline distT="0" distB="0" distL="0" distR="0">
            <wp:extent cx="3634740" cy="2028825"/>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650814" cy="2037456"/>
                    </a:xfrm>
                    <a:prstGeom prst="rect">
                      <a:avLst/>
                    </a:prstGeom>
                    <a:noFill/>
                  </pic:spPr>
                </pic:pic>
              </a:graphicData>
            </a:graphic>
          </wp:inline>
        </w:drawing>
      </w:r>
    </w:p>
    <w:p>
      <w:pPr>
        <w:ind w:firstLine="190" w:firstLineChars="95"/>
        <w:jc w:val="center"/>
        <w:rPr>
          <w:sz w:val="20"/>
          <w:szCs w:val="20"/>
        </w:rPr>
      </w:pPr>
      <w:r>
        <w:rPr>
          <w:sz w:val="20"/>
          <w:szCs w:val="20"/>
        </w:rPr>
        <w:t>(b) LFP</w:t>
      </w:r>
      <w:r>
        <w:rPr>
          <w:rFonts w:hint="eastAsia"/>
          <w:sz w:val="20"/>
          <w:szCs w:val="20"/>
        </w:rPr>
        <w:t>电池</w:t>
      </w:r>
    </w:p>
    <w:p>
      <w:pPr>
        <w:ind w:firstLine="400"/>
        <w:jc w:val="center"/>
        <w:rPr>
          <w:sz w:val="20"/>
        </w:rPr>
      </w:pPr>
      <w:r>
        <w:rPr>
          <w:rFonts w:hint="eastAsia"/>
          <w:sz w:val="20"/>
        </w:rPr>
        <w:t>图2.</w:t>
      </w:r>
      <w:r>
        <w:rPr>
          <w:sz w:val="20"/>
        </w:rPr>
        <w:t xml:space="preserve"> </w:t>
      </w:r>
      <w:r>
        <w:rPr>
          <w:rFonts w:hint="eastAsia"/>
          <w:sz w:val="20"/>
        </w:rPr>
        <w:t>NCM/LFP体系电池的内部加热触发方法实例</w:t>
      </w:r>
    </w:p>
    <w:p>
      <w:pPr>
        <w:spacing w:line="360" w:lineRule="auto"/>
        <w:ind w:firstLine="420"/>
        <w:jc w:val="both"/>
      </w:pPr>
      <w:r>
        <w:rPr>
          <w:rFonts w:hint="eastAsia"/>
        </w:rPr>
        <w:t>研究小组分别选用不同的加热片尺寸及功率对NCM&amp;LFP电池进行触发验证，结果发现当功率过大时，加热片中的加热丝高温下熔断损坏，导致无法正常触发电芯热失控；当功率过小时，存在缓慢加热电芯导致注入能量过多、温度过低难以触发电芯热失控等问题。基于验证结果（见表3），同时考虑到加热片的线径/材质/加热线长度/间隙等不同，在温度耐受性与相同功率下升温特性存在一定差异，对于加热片功率的可选范围拓宽至150-700W。</w:t>
      </w:r>
    </w:p>
    <w:p>
      <w:pPr>
        <w:ind w:firstLine="400"/>
        <w:jc w:val="center"/>
        <w:rPr>
          <w:sz w:val="20"/>
        </w:rPr>
      </w:pPr>
      <w:r>
        <w:rPr>
          <w:rFonts w:hint="eastAsia"/>
          <w:sz w:val="20"/>
        </w:rPr>
        <w:t>表3：两种常用体系电池的不用加热功率验证结果</w:t>
      </w:r>
    </w:p>
    <w:tbl>
      <w:tblPr>
        <w:tblStyle w:val="10"/>
        <w:tblW w:w="6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482"/>
        <w:gridCol w:w="1353"/>
        <w:gridCol w:w="2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jc w:val="center"/>
              <w:rPr>
                <w:sz w:val="20"/>
              </w:rPr>
            </w:pPr>
            <w:r>
              <w:rPr>
                <w:rFonts w:hint="eastAsia"/>
                <w:sz w:val="20"/>
              </w:rPr>
              <w:t>体系</w:t>
            </w:r>
          </w:p>
        </w:tc>
        <w:tc>
          <w:tcPr>
            <w:tcW w:w="1482" w:type="dxa"/>
            <w:vAlign w:val="center"/>
          </w:tcPr>
          <w:p>
            <w:pPr>
              <w:jc w:val="center"/>
              <w:rPr>
                <w:sz w:val="20"/>
              </w:rPr>
            </w:pPr>
            <w:r>
              <w:rPr>
                <w:rFonts w:hint="eastAsia"/>
                <w:sz w:val="20"/>
              </w:rPr>
              <w:t>加热片尺寸</w:t>
            </w:r>
          </w:p>
        </w:tc>
        <w:tc>
          <w:tcPr>
            <w:tcW w:w="1353" w:type="dxa"/>
            <w:vAlign w:val="center"/>
          </w:tcPr>
          <w:p>
            <w:pPr>
              <w:jc w:val="center"/>
              <w:rPr>
                <w:sz w:val="20"/>
              </w:rPr>
            </w:pPr>
            <w:r>
              <w:rPr>
                <w:rFonts w:hint="eastAsia"/>
                <w:sz w:val="20"/>
              </w:rPr>
              <w:t>加热片功率</w:t>
            </w:r>
          </w:p>
        </w:tc>
        <w:tc>
          <w:tcPr>
            <w:tcW w:w="2803" w:type="dxa"/>
            <w:vAlign w:val="center"/>
          </w:tcPr>
          <w:p>
            <w:pPr>
              <w:jc w:val="center"/>
              <w:rPr>
                <w:sz w:val="20"/>
              </w:rPr>
            </w:pPr>
            <w:r>
              <w:rPr>
                <w:rFonts w:hint="eastAsia"/>
                <w:sz w:val="20"/>
              </w:rPr>
              <w:t>测试结果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restart"/>
            <w:vAlign w:val="center"/>
          </w:tcPr>
          <w:p>
            <w:pPr>
              <w:jc w:val="center"/>
              <w:rPr>
                <w:sz w:val="20"/>
              </w:rPr>
            </w:pPr>
            <w:r>
              <w:rPr>
                <w:rFonts w:hint="eastAsia"/>
                <w:sz w:val="20"/>
              </w:rPr>
              <w:t>L</w:t>
            </w:r>
            <w:r>
              <w:rPr>
                <w:sz w:val="20"/>
              </w:rPr>
              <w:t>FP</w:t>
            </w:r>
          </w:p>
        </w:tc>
        <w:tc>
          <w:tcPr>
            <w:tcW w:w="1482" w:type="dxa"/>
            <w:vAlign w:val="center"/>
          </w:tcPr>
          <w:p>
            <w:pPr>
              <w:jc w:val="center"/>
              <w:rPr>
                <w:sz w:val="20"/>
              </w:rPr>
            </w:pPr>
            <w:r>
              <w:rPr>
                <w:rFonts w:hint="eastAsia"/>
                <w:sz w:val="20"/>
              </w:rPr>
              <w:t>30*50</w:t>
            </w:r>
          </w:p>
        </w:tc>
        <w:tc>
          <w:tcPr>
            <w:tcW w:w="1353" w:type="dxa"/>
            <w:vAlign w:val="center"/>
          </w:tcPr>
          <w:p>
            <w:pPr>
              <w:jc w:val="center"/>
              <w:rPr>
                <w:sz w:val="20"/>
              </w:rPr>
            </w:pPr>
            <w:r>
              <w:rPr>
                <w:rFonts w:hint="eastAsia"/>
                <w:sz w:val="20"/>
              </w:rPr>
              <w:t>450W</w:t>
            </w:r>
          </w:p>
        </w:tc>
        <w:tc>
          <w:tcPr>
            <w:tcW w:w="2803" w:type="dxa"/>
            <w:vAlign w:val="center"/>
          </w:tcPr>
          <w:p>
            <w:pPr>
              <w:jc w:val="center"/>
              <w:rPr>
                <w:sz w:val="20"/>
              </w:rPr>
            </w:pPr>
            <w:r>
              <w:rPr>
                <w:rFonts w:hint="eastAsia"/>
                <w:sz w:val="20"/>
              </w:rPr>
              <w:t>0.4min触发成功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pPr>
              <w:ind w:firstLine="400"/>
              <w:jc w:val="center"/>
              <w:rPr>
                <w:sz w:val="20"/>
              </w:rPr>
            </w:pPr>
          </w:p>
        </w:tc>
        <w:tc>
          <w:tcPr>
            <w:tcW w:w="1482" w:type="dxa"/>
            <w:vAlign w:val="center"/>
          </w:tcPr>
          <w:p>
            <w:pPr>
              <w:jc w:val="center"/>
              <w:rPr>
                <w:sz w:val="20"/>
              </w:rPr>
            </w:pPr>
            <w:r>
              <w:rPr>
                <w:rFonts w:hint="eastAsia"/>
                <w:sz w:val="20"/>
              </w:rPr>
              <w:t>30*50</w:t>
            </w:r>
          </w:p>
        </w:tc>
        <w:tc>
          <w:tcPr>
            <w:tcW w:w="1353" w:type="dxa"/>
            <w:vAlign w:val="center"/>
          </w:tcPr>
          <w:p>
            <w:pPr>
              <w:jc w:val="center"/>
              <w:rPr>
                <w:sz w:val="20"/>
              </w:rPr>
            </w:pPr>
            <w:r>
              <w:rPr>
                <w:rFonts w:hint="eastAsia"/>
                <w:sz w:val="20"/>
              </w:rPr>
              <w:t>400W</w:t>
            </w:r>
          </w:p>
        </w:tc>
        <w:tc>
          <w:tcPr>
            <w:tcW w:w="2803" w:type="dxa"/>
            <w:vAlign w:val="center"/>
          </w:tcPr>
          <w:p>
            <w:pPr>
              <w:jc w:val="center"/>
              <w:rPr>
                <w:sz w:val="20"/>
              </w:rPr>
            </w:pPr>
            <w:r>
              <w:rPr>
                <w:rFonts w:hint="eastAsia"/>
                <w:sz w:val="20"/>
              </w:rPr>
              <w:t>0.6min触发成功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pPr>
              <w:ind w:firstLine="400"/>
              <w:jc w:val="center"/>
              <w:rPr>
                <w:sz w:val="20"/>
              </w:rPr>
            </w:pPr>
          </w:p>
        </w:tc>
        <w:tc>
          <w:tcPr>
            <w:tcW w:w="1482" w:type="dxa"/>
            <w:vAlign w:val="center"/>
          </w:tcPr>
          <w:p>
            <w:pPr>
              <w:jc w:val="center"/>
              <w:rPr>
                <w:sz w:val="20"/>
              </w:rPr>
            </w:pPr>
            <w:r>
              <w:rPr>
                <w:rFonts w:hint="eastAsia"/>
                <w:sz w:val="20"/>
              </w:rPr>
              <w:t>30*50</w:t>
            </w:r>
          </w:p>
        </w:tc>
        <w:tc>
          <w:tcPr>
            <w:tcW w:w="1353" w:type="dxa"/>
            <w:vAlign w:val="center"/>
          </w:tcPr>
          <w:p>
            <w:pPr>
              <w:jc w:val="center"/>
              <w:rPr>
                <w:sz w:val="20"/>
              </w:rPr>
            </w:pPr>
            <w:r>
              <w:rPr>
                <w:rFonts w:hint="eastAsia"/>
                <w:sz w:val="20"/>
              </w:rPr>
              <w:t>350W</w:t>
            </w:r>
          </w:p>
        </w:tc>
        <w:tc>
          <w:tcPr>
            <w:tcW w:w="2803" w:type="dxa"/>
            <w:vAlign w:val="center"/>
          </w:tcPr>
          <w:p>
            <w:pPr>
              <w:jc w:val="center"/>
              <w:rPr>
                <w:sz w:val="20"/>
              </w:rPr>
            </w:pPr>
            <w:r>
              <w:rPr>
                <w:rFonts w:hint="eastAsia"/>
                <w:sz w:val="20"/>
              </w:rPr>
              <w:t>1.0min触发成功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pPr>
              <w:ind w:firstLine="400"/>
              <w:jc w:val="center"/>
              <w:rPr>
                <w:sz w:val="20"/>
              </w:rPr>
            </w:pPr>
          </w:p>
        </w:tc>
        <w:tc>
          <w:tcPr>
            <w:tcW w:w="1482" w:type="dxa"/>
            <w:vAlign w:val="center"/>
          </w:tcPr>
          <w:p>
            <w:pPr>
              <w:jc w:val="center"/>
              <w:rPr>
                <w:sz w:val="20"/>
              </w:rPr>
            </w:pPr>
            <w:r>
              <w:rPr>
                <w:rFonts w:hint="eastAsia"/>
                <w:sz w:val="20"/>
              </w:rPr>
              <w:t>30*50</w:t>
            </w:r>
          </w:p>
        </w:tc>
        <w:tc>
          <w:tcPr>
            <w:tcW w:w="1353" w:type="dxa"/>
            <w:vAlign w:val="center"/>
          </w:tcPr>
          <w:p>
            <w:pPr>
              <w:jc w:val="center"/>
              <w:rPr>
                <w:sz w:val="20"/>
              </w:rPr>
            </w:pPr>
            <w:r>
              <w:rPr>
                <w:rFonts w:hint="eastAsia"/>
                <w:sz w:val="20"/>
              </w:rPr>
              <w:t>300W</w:t>
            </w:r>
          </w:p>
        </w:tc>
        <w:tc>
          <w:tcPr>
            <w:tcW w:w="2803" w:type="dxa"/>
            <w:vAlign w:val="center"/>
          </w:tcPr>
          <w:p>
            <w:pPr>
              <w:jc w:val="center"/>
              <w:rPr>
                <w:sz w:val="20"/>
              </w:rPr>
            </w:pPr>
            <w:r>
              <w:rPr>
                <w:rFonts w:hint="eastAsia"/>
                <w:sz w:val="20"/>
              </w:rPr>
              <w:t>2.3min触发成功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pPr>
              <w:ind w:firstLine="400"/>
              <w:jc w:val="center"/>
              <w:rPr>
                <w:sz w:val="20"/>
              </w:rPr>
            </w:pPr>
          </w:p>
        </w:tc>
        <w:tc>
          <w:tcPr>
            <w:tcW w:w="1482" w:type="dxa"/>
            <w:vAlign w:val="center"/>
          </w:tcPr>
          <w:p>
            <w:pPr>
              <w:jc w:val="center"/>
              <w:rPr>
                <w:sz w:val="20"/>
              </w:rPr>
            </w:pPr>
            <w:r>
              <w:rPr>
                <w:rFonts w:hint="eastAsia"/>
                <w:sz w:val="20"/>
              </w:rPr>
              <w:t>30*50</w:t>
            </w:r>
          </w:p>
        </w:tc>
        <w:tc>
          <w:tcPr>
            <w:tcW w:w="1353" w:type="dxa"/>
            <w:vAlign w:val="center"/>
          </w:tcPr>
          <w:p>
            <w:pPr>
              <w:jc w:val="center"/>
              <w:rPr>
                <w:sz w:val="20"/>
              </w:rPr>
            </w:pPr>
            <w:r>
              <w:rPr>
                <w:rFonts w:hint="eastAsia"/>
                <w:sz w:val="20"/>
              </w:rPr>
              <w:t>180W</w:t>
            </w:r>
          </w:p>
        </w:tc>
        <w:tc>
          <w:tcPr>
            <w:tcW w:w="2803" w:type="dxa"/>
            <w:vAlign w:val="center"/>
          </w:tcPr>
          <w:p>
            <w:pPr>
              <w:jc w:val="center"/>
              <w:rPr>
                <w:sz w:val="20"/>
              </w:rPr>
            </w:pPr>
            <w:r>
              <w:rPr>
                <w:rFonts w:hint="eastAsia"/>
                <w:sz w:val="20"/>
              </w:rPr>
              <w:t>26.8min触发成功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restart"/>
            <w:vAlign w:val="center"/>
          </w:tcPr>
          <w:p>
            <w:pPr>
              <w:jc w:val="center"/>
              <w:rPr>
                <w:sz w:val="20"/>
              </w:rPr>
            </w:pPr>
            <w:r>
              <w:rPr>
                <w:rFonts w:hint="eastAsia"/>
                <w:sz w:val="20"/>
              </w:rPr>
              <w:t>NCM</w:t>
            </w:r>
          </w:p>
        </w:tc>
        <w:tc>
          <w:tcPr>
            <w:tcW w:w="1482" w:type="dxa"/>
            <w:vAlign w:val="center"/>
          </w:tcPr>
          <w:p>
            <w:pPr>
              <w:jc w:val="center"/>
              <w:rPr>
                <w:sz w:val="20"/>
              </w:rPr>
            </w:pPr>
            <w:r>
              <w:rPr>
                <w:rFonts w:hint="eastAsia"/>
                <w:sz w:val="20"/>
              </w:rPr>
              <w:t>30*30</w:t>
            </w:r>
          </w:p>
        </w:tc>
        <w:tc>
          <w:tcPr>
            <w:tcW w:w="1353" w:type="dxa"/>
            <w:vAlign w:val="center"/>
          </w:tcPr>
          <w:p>
            <w:pPr>
              <w:jc w:val="center"/>
              <w:rPr>
                <w:sz w:val="20"/>
              </w:rPr>
            </w:pPr>
            <w:r>
              <w:rPr>
                <w:rFonts w:hint="eastAsia"/>
                <w:sz w:val="20"/>
              </w:rPr>
              <w:t>350W</w:t>
            </w:r>
          </w:p>
        </w:tc>
        <w:tc>
          <w:tcPr>
            <w:tcW w:w="2803" w:type="dxa"/>
            <w:vAlign w:val="center"/>
          </w:tcPr>
          <w:p>
            <w:pPr>
              <w:jc w:val="center"/>
              <w:rPr>
                <w:sz w:val="20"/>
              </w:rPr>
            </w:pPr>
            <w:r>
              <w:rPr>
                <w:rFonts w:hint="eastAsia"/>
                <w:sz w:val="20"/>
              </w:rPr>
              <w:t>0.16min触发成功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pPr>
              <w:ind w:firstLine="400"/>
              <w:jc w:val="center"/>
              <w:rPr>
                <w:sz w:val="20"/>
              </w:rPr>
            </w:pPr>
          </w:p>
        </w:tc>
        <w:tc>
          <w:tcPr>
            <w:tcW w:w="1482" w:type="dxa"/>
            <w:vAlign w:val="center"/>
          </w:tcPr>
          <w:p>
            <w:pPr>
              <w:jc w:val="center"/>
            </w:pPr>
            <w:r>
              <w:rPr>
                <w:rFonts w:hint="eastAsia"/>
                <w:sz w:val="20"/>
              </w:rPr>
              <w:t>30*30</w:t>
            </w:r>
          </w:p>
        </w:tc>
        <w:tc>
          <w:tcPr>
            <w:tcW w:w="1353" w:type="dxa"/>
            <w:vAlign w:val="center"/>
          </w:tcPr>
          <w:p>
            <w:pPr>
              <w:jc w:val="center"/>
              <w:rPr>
                <w:sz w:val="20"/>
              </w:rPr>
            </w:pPr>
            <w:r>
              <w:rPr>
                <w:rFonts w:hint="eastAsia"/>
                <w:sz w:val="20"/>
              </w:rPr>
              <w:t>300W</w:t>
            </w:r>
          </w:p>
        </w:tc>
        <w:tc>
          <w:tcPr>
            <w:tcW w:w="2803" w:type="dxa"/>
            <w:vAlign w:val="center"/>
          </w:tcPr>
          <w:p>
            <w:pPr>
              <w:jc w:val="center"/>
              <w:rPr>
                <w:sz w:val="20"/>
              </w:rPr>
            </w:pPr>
            <w:r>
              <w:rPr>
                <w:rFonts w:hint="eastAsia"/>
                <w:sz w:val="20"/>
              </w:rPr>
              <w:t>0.2min触发成功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pPr>
              <w:ind w:firstLine="400"/>
              <w:jc w:val="center"/>
              <w:rPr>
                <w:sz w:val="20"/>
              </w:rPr>
            </w:pPr>
          </w:p>
        </w:tc>
        <w:tc>
          <w:tcPr>
            <w:tcW w:w="1482" w:type="dxa"/>
            <w:vAlign w:val="center"/>
          </w:tcPr>
          <w:p>
            <w:pPr>
              <w:jc w:val="center"/>
            </w:pPr>
            <w:r>
              <w:rPr>
                <w:rFonts w:hint="eastAsia"/>
                <w:sz w:val="20"/>
              </w:rPr>
              <w:t>30*30</w:t>
            </w:r>
          </w:p>
        </w:tc>
        <w:tc>
          <w:tcPr>
            <w:tcW w:w="1353" w:type="dxa"/>
            <w:vAlign w:val="center"/>
          </w:tcPr>
          <w:p>
            <w:pPr>
              <w:jc w:val="center"/>
              <w:rPr>
                <w:sz w:val="20"/>
              </w:rPr>
            </w:pPr>
            <w:r>
              <w:rPr>
                <w:rFonts w:hint="eastAsia"/>
                <w:sz w:val="20"/>
              </w:rPr>
              <w:t>200W</w:t>
            </w:r>
          </w:p>
        </w:tc>
        <w:tc>
          <w:tcPr>
            <w:tcW w:w="2803" w:type="dxa"/>
            <w:vAlign w:val="center"/>
          </w:tcPr>
          <w:p>
            <w:pPr>
              <w:jc w:val="center"/>
              <w:rPr>
                <w:sz w:val="20"/>
              </w:rPr>
            </w:pPr>
            <w:r>
              <w:rPr>
                <w:rFonts w:hint="eastAsia"/>
                <w:sz w:val="20"/>
              </w:rPr>
              <w:t>0.4min触发成功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pPr>
              <w:ind w:firstLine="400"/>
              <w:jc w:val="center"/>
              <w:rPr>
                <w:sz w:val="20"/>
              </w:rPr>
            </w:pPr>
          </w:p>
        </w:tc>
        <w:tc>
          <w:tcPr>
            <w:tcW w:w="1482" w:type="dxa"/>
            <w:vAlign w:val="center"/>
          </w:tcPr>
          <w:p>
            <w:pPr>
              <w:jc w:val="center"/>
            </w:pPr>
            <w:r>
              <w:rPr>
                <w:rFonts w:hint="eastAsia"/>
                <w:sz w:val="20"/>
              </w:rPr>
              <w:t>30*30</w:t>
            </w:r>
          </w:p>
        </w:tc>
        <w:tc>
          <w:tcPr>
            <w:tcW w:w="1353" w:type="dxa"/>
            <w:vAlign w:val="center"/>
          </w:tcPr>
          <w:p>
            <w:pPr>
              <w:jc w:val="center"/>
              <w:rPr>
                <w:sz w:val="20"/>
              </w:rPr>
            </w:pPr>
            <w:r>
              <w:rPr>
                <w:rFonts w:hint="eastAsia"/>
                <w:sz w:val="20"/>
              </w:rPr>
              <w:t>150W</w:t>
            </w:r>
          </w:p>
        </w:tc>
        <w:tc>
          <w:tcPr>
            <w:tcW w:w="2803" w:type="dxa"/>
            <w:vAlign w:val="center"/>
          </w:tcPr>
          <w:p>
            <w:pPr>
              <w:jc w:val="center"/>
              <w:rPr>
                <w:sz w:val="20"/>
              </w:rPr>
            </w:pPr>
            <w:r>
              <w:rPr>
                <w:rFonts w:hint="eastAsia"/>
                <w:sz w:val="20"/>
              </w:rPr>
              <w:t>0.7min触发成功</w:t>
            </w:r>
          </w:p>
        </w:tc>
      </w:tr>
    </w:tbl>
    <w:p>
      <w:pPr>
        <w:spacing w:line="360" w:lineRule="auto"/>
        <w:ind w:firstLine="420"/>
      </w:pPr>
      <w:r>
        <w:rPr>
          <w:rFonts w:hint="eastAsia"/>
        </w:rPr>
        <w:t>通过对于内部有/无加热片的电池单体性能进行对比分析，从电池容量、平台电压、内阻、重量、充放电曲线的对比结果（见图3和表4）来看，内部放置加热片对电池单体特性几乎无影响。</w:t>
      </w:r>
    </w:p>
    <w:p>
      <w:pPr>
        <w:ind w:firstLine="420"/>
        <w:jc w:val="center"/>
      </w:pPr>
      <w:r>
        <w:drawing>
          <wp:inline distT="0" distB="0" distL="0" distR="0">
            <wp:extent cx="3486150" cy="194246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496139" cy="1948079"/>
                    </a:xfrm>
                    <a:prstGeom prst="rect">
                      <a:avLst/>
                    </a:prstGeom>
                    <a:noFill/>
                  </pic:spPr>
                </pic:pic>
              </a:graphicData>
            </a:graphic>
          </wp:inline>
        </w:drawing>
      </w:r>
    </w:p>
    <w:p>
      <w:pPr>
        <w:ind w:firstLine="400"/>
        <w:jc w:val="center"/>
        <w:rPr>
          <w:sz w:val="20"/>
        </w:rPr>
      </w:pPr>
      <w:r>
        <w:rPr>
          <w:rFonts w:hint="eastAsia"/>
          <w:sz w:val="20"/>
        </w:rPr>
        <w:t>图3：两种电池的充放电曲线对比</w:t>
      </w:r>
    </w:p>
    <w:p>
      <w:pPr>
        <w:ind w:firstLine="400"/>
        <w:jc w:val="center"/>
        <w:rPr>
          <w:sz w:val="20"/>
        </w:rPr>
      </w:pPr>
      <w:r>
        <w:rPr>
          <w:rFonts w:hint="eastAsia"/>
          <w:sz w:val="20"/>
        </w:rPr>
        <w:t>表4：两种电池的电池特性对比</w:t>
      </w:r>
    </w:p>
    <w:tbl>
      <w:tblPr>
        <w:tblStyle w:val="10"/>
        <w:tblW w:w="6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4"/>
        <w:gridCol w:w="2324"/>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4" w:type="dxa"/>
            <w:vAlign w:val="center"/>
          </w:tcPr>
          <w:p>
            <w:pPr>
              <w:jc w:val="center"/>
              <w:rPr>
                <w:sz w:val="20"/>
              </w:rPr>
            </w:pPr>
            <w:r>
              <w:rPr>
                <w:sz w:val="20"/>
              </w:rPr>
              <w:t>参数</w:t>
            </w:r>
          </w:p>
        </w:tc>
        <w:tc>
          <w:tcPr>
            <w:tcW w:w="2324" w:type="dxa"/>
            <w:vAlign w:val="center"/>
          </w:tcPr>
          <w:p>
            <w:pPr>
              <w:jc w:val="center"/>
              <w:rPr>
                <w:sz w:val="20"/>
              </w:rPr>
            </w:pPr>
            <w:r>
              <w:rPr>
                <w:rFonts w:hint="eastAsia"/>
                <w:sz w:val="20"/>
              </w:rPr>
              <w:t>无加热片的电池</w:t>
            </w:r>
          </w:p>
        </w:tc>
        <w:tc>
          <w:tcPr>
            <w:tcW w:w="2324" w:type="dxa"/>
            <w:vAlign w:val="center"/>
          </w:tcPr>
          <w:p>
            <w:pPr>
              <w:jc w:val="center"/>
              <w:rPr>
                <w:sz w:val="20"/>
              </w:rPr>
            </w:pPr>
            <w:r>
              <w:rPr>
                <w:sz w:val="20"/>
              </w:rPr>
              <w:t>内</w:t>
            </w:r>
            <w:r>
              <w:rPr>
                <w:rFonts w:hint="eastAsia"/>
                <w:sz w:val="20"/>
              </w:rPr>
              <w:t>置</w:t>
            </w:r>
            <w:r>
              <w:rPr>
                <w:sz w:val="20"/>
              </w:rPr>
              <w:t>加热</w:t>
            </w:r>
            <w:r>
              <w:rPr>
                <w:rFonts w:hint="eastAsia"/>
                <w:sz w:val="20"/>
              </w:rPr>
              <w:t>片的</w:t>
            </w:r>
            <w:r>
              <w:rPr>
                <w:sz w:val="20"/>
              </w:rPr>
              <w:t>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4" w:type="dxa"/>
            <w:vAlign w:val="center"/>
          </w:tcPr>
          <w:p>
            <w:pPr>
              <w:jc w:val="center"/>
              <w:rPr>
                <w:sz w:val="20"/>
              </w:rPr>
            </w:pPr>
            <w:r>
              <w:rPr>
                <w:sz w:val="20"/>
              </w:rPr>
              <w:t>容量</w:t>
            </w:r>
          </w:p>
        </w:tc>
        <w:tc>
          <w:tcPr>
            <w:tcW w:w="2324" w:type="dxa"/>
            <w:vAlign w:val="center"/>
          </w:tcPr>
          <w:p>
            <w:pPr>
              <w:jc w:val="center"/>
              <w:rPr>
                <w:sz w:val="20"/>
              </w:rPr>
            </w:pPr>
            <w:r>
              <w:rPr>
                <w:sz w:val="20"/>
              </w:rPr>
              <w:t>参比</w:t>
            </w:r>
          </w:p>
        </w:tc>
        <w:tc>
          <w:tcPr>
            <w:tcW w:w="2324" w:type="dxa"/>
            <w:vAlign w:val="center"/>
          </w:tcPr>
          <w:p>
            <w:pPr>
              <w:jc w:val="center"/>
              <w:rPr>
                <w:sz w:val="20"/>
              </w:rPr>
            </w:pPr>
            <w:r>
              <w:rPr>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4" w:type="dxa"/>
            <w:vAlign w:val="center"/>
          </w:tcPr>
          <w:p>
            <w:pPr>
              <w:jc w:val="center"/>
              <w:rPr>
                <w:sz w:val="20"/>
              </w:rPr>
            </w:pPr>
            <w:r>
              <w:rPr>
                <w:sz w:val="20"/>
              </w:rPr>
              <w:t>平台电压</w:t>
            </w:r>
          </w:p>
        </w:tc>
        <w:tc>
          <w:tcPr>
            <w:tcW w:w="2324" w:type="dxa"/>
            <w:vAlign w:val="center"/>
          </w:tcPr>
          <w:p>
            <w:pPr>
              <w:jc w:val="center"/>
              <w:rPr>
                <w:sz w:val="20"/>
              </w:rPr>
            </w:pPr>
            <w:r>
              <w:rPr>
                <w:rFonts w:hint="eastAsia"/>
                <w:sz w:val="20"/>
              </w:rPr>
              <w:t>参比</w:t>
            </w:r>
          </w:p>
        </w:tc>
        <w:tc>
          <w:tcPr>
            <w:tcW w:w="2324" w:type="dxa"/>
            <w:vAlign w:val="center"/>
          </w:tcPr>
          <w:p>
            <w:pPr>
              <w:jc w:val="center"/>
              <w:rPr>
                <w:sz w:val="20"/>
              </w:rPr>
            </w:pPr>
            <w:r>
              <w:rPr>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4" w:type="dxa"/>
            <w:vAlign w:val="center"/>
          </w:tcPr>
          <w:p>
            <w:pPr>
              <w:jc w:val="center"/>
              <w:rPr>
                <w:sz w:val="20"/>
              </w:rPr>
            </w:pPr>
            <w:r>
              <w:rPr>
                <w:sz w:val="20"/>
              </w:rPr>
              <w:t>内阻</w:t>
            </w:r>
          </w:p>
        </w:tc>
        <w:tc>
          <w:tcPr>
            <w:tcW w:w="2324" w:type="dxa"/>
            <w:vAlign w:val="center"/>
          </w:tcPr>
          <w:p>
            <w:pPr>
              <w:jc w:val="center"/>
              <w:rPr>
                <w:sz w:val="20"/>
              </w:rPr>
            </w:pPr>
            <w:r>
              <w:rPr>
                <w:rFonts w:hint="eastAsia"/>
                <w:sz w:val="20"/>
              </w:rPr>
              <w:t>参比</w:t>
            </w:r>
          </w:p>
        </w:tc>
        <w:tc>
          <w:tcPr>
            <w:tcW w:w="2324" w:type="dxa"/>
            <w:vAlign w:val="center"/>
          </w:tcPr>
          <w:p>
            <w:pPr>
              <w:jc w:val="center"/>
              <w:rPr>
                <w:sz w:val="20"/>
              </w:rPr>
            </w:pPr>
            <w:r>
              <w:rPr>
                <w:sz w:val="20"/>
              </w:rPr>
              <w:t>变化＜5%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4" w:type="dxa"/>
            <w:vAlign w:val="center"/>
          </w:tcPr>
          <w:p>
            <w:pPr>
              <w:jc w:val="center"/>
              <w:rPr>
                <w:sz w:val="20"/>
              </w:rPr>
            </w:pPr>
            <w:r>
              <w:rPr>
                <w:sz w:val="20"/>
              </w:rPr>
              <w:t>重量</w:t>
            </w:r>
          </w:p>
        </w:tc>
        <w:tc>
          <w:tcPr>
            <w:tcW w:w="2324" w:type="dxa"/>
            <w:vAlign w:val="center"/>
          </w:tcPr>
          <w:p>
            <w:pPr>
              <w:jc w:val="center"/>
              <w:rPr>
                <w:sz w:val="20"/>
              </w:rPr>
            </w:pPr>
            <w:r>
              <w:rPr>
                <w:rFonts w:hint="eastAsia"/>
                <w:sz w:val="20"/>
              </w:rPr>
              <w:t>参比</w:t>
            </w:r>
          </w:p>
        </w:tc>
        <w:tc>
          <w:tcPr>
            <w:tcW w:w="2324" w:type="dxa"/>
            <w:vAlign w:val="center"/>
          </w:tcPr>
          <w:p>
            <w:pPr>
              <w:jc w:val="center"/>
              <w:rPr>
                <w:sz w:val="20"/>
              </w:rPr>
            </w:pPr>
            <w:r>
              <w:rPr>
                <w:sz w:val="20"/>
              </w:rPr>
              <w:t>变化＜1%</w:t>
            </w:r>
          </w:p>
        </w:tc>
      </w:tr>
    </w:tbl>
    <w:p>
      <w:pPr>
        <w:spacing w:line="360" w:lineRule="auto"/>
        <w:ind w:firstLine="420"/>
      </w:pPr>
      <w:r>
        <w:rPr>
          <w:rFonts w:hint="eastAsia"/>
        </w:rPr>
        <w:t>在电池发生热失控时，存在从电池内部蓄压到防爆阀排气的阶段，在这个阶段电池顶盖可能发生变形，使得引线孔位置存在密封失效的风险。根据不同引线孔位置的热失控测试结果，</w:t>
      </w:r>
      <w:r>
        <w:rPr>
          <w:rFonts w:hint="eastAsia"/>
          <w:szCs w:val="21"/>
        </w:rPr>
        <w:t>对于电池顶盖刚度较大的情况，宜在一类出线孔或二类出线孔位置制造出线孔；对于电池顶盖刚度较小的情况，宜在二类出线孔（如靠近拐角或靠近大面）的位置制造出线孔，</w:t>
      </w:r>
      <w:r>
        <w:rPr>
          <w:rFonts w:hint="eastAsia"/>
        </w:rPr>
        <w:t>如图4所示。内置加热片的电池热失控行为的验证测试结果显示，触发电池热失控后，电池内部气体从防爆阀位置正常排出，加热片引线处未发生排气行为。这说明了内置加热片电池未影响电池的正常排气功能。</w:t>
      </w:r>
    </w:p>
    <w:p>
      <w:pPr>
        <w:ind w:firstLine="420"/>
        <w:jc w:val="center"/>
      </w:pPr>
      <w:r>
        <w:drawing>
          <wp:inline distT="0" distB="0" distL="0" distR="0">
            <wp:extent cx="1160780" cy="773430"/>
            <wp:effectExtent l="0" t="0" r="127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stretch>
                      <a:fillRect/>
                    </a:stretch>
                  </pic:blipFill>
                  <pic:spPr>
                    <a:xfrm>
                      <a:off x="0" y="0"/>
                      <a:ext cx="1161000" cy="774000"/>
                    </a:xfrm>
                    <a:prstGeom prst="rect">
                      <a:avLst/>
                    </a:prstGeom>
                  </pic:spPr>
                </pic:pic>
              </a:graphicData>
            </a:graphic>
          </wp:inline>
        </w:drawing>
      </w:r>
      <w:r>
        <w:t xml:space="preserve">  </w:t>
      </w:r>
      <w:r>
        <w:rPr>
          <w:rFonts w:hint="eastAsia"/>
        </w:rPr>
        <w:t xml:space="preserve"> </w:t>
      </w:r>
      <w:r>
        <w:t xml:space="preserve">     </w:t>
      </w:r>
    </w:p>
    <w:p>
      <w:pPr>
        <w:ind w:firstLine="400"/>
        <w:jc w:val="center"/>
        <w:rPr>
          <w:sz w:val="20"/>
        </w:rPr>
      </w:pPr>
      <w:r>
        <w:rPr>
          <w:rFonts w:hint="eastAsia"/>
          <w:sz w:val="20"/>
        </w:rPr>
        <w:t>图4.</w:t>
      </w:r>
      <w:r>
        <w:rPr>
          <w:sz w:val="20"/>
        </w:rPr>
        <w:t xml:space="preserve"> </w:t>
      </w:r>
      <w:r>
        <w:rPr>
          <w:rFonts w:hint="eastAsia"/>
          <w:sz w:val="20"/>
        </w:rPr>
        <w:t>内部加热触发电池单体顶盖的出线孔位置示意图</w:t>
      </w:r>
    </w:p>
    <w:p>
      <w:pPr>
        <w:spacing w:line="360" w:lineRule="auto"/>
        <w:ind w:firstLine="420"/>
      </w:pPr>
      <w:r>
        <w:rPr>
          <w:rFonts w:hint="eastAsia"/>
        </w:rPr>
        <w:t>基于表2中推荐的加热片参数条件，研究小组统计了LFP/NCM电池包样品中采用内加热触发方法的验证情况，见表5。统计结果表明，在不同容量及体系的电池包样品中，内加热均可成功触发电池热失控。</w:t>
      </w:r>
    </w:p>
    <w:p>
      <w:pPr>
        <w:ind w:firstLine="400"/>
        <w:jc w:val="center"/>
        <w:rPr>
          <w:sz w:val="20"/>
        </w:rPr>
      </w:pPr>
      <w:r>
        <w:rPr>
          <w:rFonts w:hint="eastAsia"/>
          <w:sz w:val="20"/>
        </w:rPr>
        <w:t>表5：不同电池包产品的内加热方法表现统计</w:t>
      </w:r>
    </w:p>
    <w:tbl>
      <w:tblPr>
        <w:tblStyle w:val="10"/>
        <w:tblW w:w="8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1"/>
        <w:gridCol w:w="1570"/>
        <w:gridCol w:w="1719"/>
        <w:gridCol w:w="1719"/>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311" w:type="dxa"/>
            <w:vAlign w:val="center"/>
          </w:tcPr>
          <w:p>
            <w:pPr>
              <w:rPr>
                <w:sz w:val="20"/>
              </w:rPr>
            </w:pPr>
            <w:r>
              <w:rPr>
                <w:rFonts w:hint="eastAsia"/>
                <w:sz w:val="20"/>
              </w:rPr>
              <w:t>电池包</w:t>
            </w:r>
          </w:p>
        </w:tc>
        <w:tc>
          <w:tcPr>
            <w:tcW w:w="1570" w:type="dxa"/>
            <w:vAlign w:val="center"/>
          </w:tcPr>
          <w:p>
            <w:pPr>
              <w:rPr>
                <w:sz w:val="20"/>
              </w:rPr>
            </w:pPr>
            <w:r>
              <w:rPr>
                <w:rFonts w:hint="eastAsia"/>
                <w:sz w:val="20"/>
              </w:rPr>
              <w:t>电池类型</w:t>
            </w:r>
          </w:p>
        </w:tc>
        <w:tc>
          <w:tcPr>
            <w:tcW w:w="1719" w:type="dxa"/>
            <w:vAlign w:val="center"/>
          </w:tcPr>
          <w:p>
            <w:pPr>
              <w:rPr>
                <w:sz w:val="20"/>
              </w:rPr>
            </w:pPr>
            <w:r>
              <w:rPr>
                <w:rFonts w:hint="eastAsia"/>
                <w:sz w:val="20"/>
              </w:rPr>
              <w:t>容量范围</w:t>
            </w:r>
          </w:p>
        </w:tc>
        <w:tc>
          <w:tcPr>
            <w:tcW w:w="1719" w:type="dxa"/>
            <w:vAlign w:val="center"/>
          </w:tcPr>
          <w:p>
            <w:pPr>
              <w:rPr>
                <w:sz w:val="20"/>
              </w:rPr>
            </w:pPr>
            <w:r>
              <w:rPr>
                <w:rFonts w:hint="eastAsia"/>
                <w:sz w:val="20"/>
              </w:rPr>
              <w:t>加热片功率</w:t>
            </w:r>
          </w:p>
        </w:tc>
        <w:tc>
          <w:tcPr>
            <w:tcW w:w="1719" w:type="dxa"/>
            <w:vAlign w:val="center"/>
          </w:tcPr>
          <w:p>
            <w:pPr>
              <w:rPr>
                <w:sz w:val="20"/>
              </w:rPr>
            </w:pPr>
            <w:r>
              <w:rPr>
                <w:rFonts w:hint="eastAsia"/>
                <w:sz w:val="20"/>
              </w:rPr>
              <w:t>验证次数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311" w:type="dxa"/>
            <w:vAlign w:val="center"/>
          </w:tcPr>
          <w:p>
            <w:pPr>
              <w:rPr>
                <w:sz w:val="20"/>
              </w:rPr>
            </w:pPr>
            <w:r>
              <w:rPr>
                <w:rFonts w:hint="eastAsia"/>
                <w:sz w:val="20"/>
              </w:rPr>
              <w:t>电池包1</w:t>
            </w:r>
          </w:p>
        </w:tc>
        <w:tc>
          <w:tcPr>
            <w:tcW w:w="1570" w:type="dxa"/>
            <w:vAlign w:val="center"/>
          </w:tcPr>
          <w:p>
            <w:pPr>
              <w:rPr>
                <w:sz w:val="20"/>
              </w:rPr>
            </w:pPr>
            <w:r>
              <w:rPr>
                <w:rFonts w:hint="eastAsia"/>
                <w:sz w:val="20"/>
              </w:rPr>
              <w:t>LFP</w:t>
            </w:r>
          </w:p>
        </w:tc>
        <w:tc>
          <w:tcPr>
            <w:tcW w:w="1719" w:type="dxa"/>
            <w:vAlign w:val="center"/>
          </w:tcPr>
          <w:p>
            <w:pPr>
              <w:rPr>
                <w:sz w:val="20"/>
              </w:rPr>
            </w:pPr>
            <w:r>
              <w:rPr>
                <w:rFonts w:hint="eastAsia"/>
                <w:sz w:val="20"/>
              </w:rPr>
              <w:t>50Ah</w:t>
            </w:r>
          </w:p>
        </w:tc>
        <w:tc>
          <w:tcPr>
            <w:tcW w:w="1719" w:type="dxa"/>
            <w:vAlign w:val="center"/>
          </w:tcPr>
          <w:p>
            <w:pPr>
              <w:rPr>
                <w:sz w:val="20"/>
              </w:rPr>
            </w:pPr>
            <w:r>
              <w:rPr>
                <w:rFonts w:hint="eastAsia"/>
                <w:sz w:val="20"/>
              </w:rPr>
              <w:t>3</w:t>
            </w:r>
            <w:r>
              <w:rPr>
                <w:sz w:val="20"/>
              </w:rPr>
              <w:t>00-450W</w:t>
            </w:r>
          </w:p>
        </w:tc>
        <w:tc>
          <w:tcPr>
            <w:tcW w:w="1719" w:type="dxa"/>
            <w:vAlign w:val="center"/>
          </w:tcPr>
          <w:p>
            <w:pPr>
              <w:rPr>
                <w:sz w:val="20"/>
              </w:rPr>
            </w:pPr>
            <w:r>
              <w:rPr>
                <w:rFonts w:hint="eastAsia"/>
                <w:sz w:val="20"/>
              </w:rPr>
              <w:t>17次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311" w:type="dxa"/>
          </w:tcPr>
          <w:p>
            <w:r>
              <w:rPr>
                <w:rFonts w:hint="eastAsia"/>
                <w:sz w:val="20"/>
              </w:rPr>
              <w:t>电池包2</w:t>
            </w:r>
          </w:p>
        </w:tc>
        <w:tc>
          <w:tcPr>
            <w:tcW w:w="1570" w:type="dxa"/>
            <w:vAlign w:val="center"/>
          </w:tcPr>
          <w:p>
            <w:pPr>
              <w:rPr>
                <w:sz w:val="20"/>
              </w:rPr>
            </w:pPr>
            <w:r>
              <w:rPr>
                <w:rFonts w:hint="eastAsia"/>
                <w:sz w:val="20"/>
              </w:rPr>
              <w:t>LFP</w:t>
            </w:r>
          </w:p>
        </w:tc>
        <w:tc>
          <w:tcPr>
            <w:tcW w:w="1719" w:type="dxa"/>
            <w:vAlign w:val="center"/>
          </w:tcPr>
          <w:p>
            <w:pPr>
              <w:rPr>
                <w:sz w:val="20"/>
              </w:rPr>
            </w:pPr>
            <w:r>
              <w:rPr>
                <w:rFonts w:hint="eastAsia"/>
                <w:sz w:val="20"/>
              </w:rPr>
              <w:t>110Ah</w:t>
            </w:r>
          </w:p>
        </w:tc>
        <w:tc>
          <w:tcPr>
            <w:tcW w:w="1719" w:type="dxa"/>
            <w:vAlign w:val="center"/>
          </w:tcPr>
          <w:p>
            <w:pPr>
              <w:rPr>
                <w:sz w:val="20"/>
              </w:rPr>
            </w:pPr>
            <w:r>
              <w:rPr>
                <w:rFonts w:hint="eastAsia"/>
                <w:sz w:val="20"/>
              </w:rPr>
              <w:t>3</w:t>
            </w:r>
            <w:r>
              <w:rPr>
                <w:sz w:val="20"/>
              </w:rPr>
              <w:t>00-450W</w:t>
            </w:r>
          </w:p>
        </w:tc>
        <w:tc>
          <w:tcPr>
            <w:tcW w:w="1719" w:type="dxa"/>
            <w:vAlign w:val="center"/>
          </w:tcPr>
          <w:p>
            <w:pPr>
              <w:rPr>
                <w:sz w:val="20"/>
              </w:rPr>
            </w:pPr>
            <w:r>
              <w:rPr>
                <w:rFonts w:hint="eastAsia"/>
                <w:sz w:val="20"/>
              </w:rPr>
              <w:t>25次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311" w:type="dxa"/>
          </w:tcPr>
          <w:p>
            <w:r>
              <w:rPr>
                <w:rFonts w:hint="eastAsia"/>
                <w:sz w:val="20"/>
              </w:rPr>
              <w:t>电池包3</w:t>
            </w:r>
          </w:p>
        </w:tc>
        <w:tc>
          <w:tcPr>
            <w:tcW w:w="1570" w:type="dxa"/>
            <w:vAlign w:val="center"/>
          </w:tcPr>
          <w:p>
            <w:pPr>
              <w:rPr>
                <w:sz w:val="20"/>
              </w:rPr>
            </w:pPr>
            <w:r>
              <w:rPr>
                <w:rFonts w:hint="eastAsia"/>
                <w:sz w:val="20"/>
              </w:rPr>
              <w:t>LFP</w:t>
            </w:r>
          </w:p>
        </w:tc>
        <w:tc>
          <w:tcPr>
            <w:tcW w:w="1719" w:type="dxa"/>
            <w:vAlign w:val="center"/>
          </w:tcPr>
          <w:p>
            <w:pPr>
              <w:rPr>
                <w:sz w:val="20"/>
              </w:rPr>
            </w:pPr>
            <w:r>
              <w:rPr>
                <w:rFonts w:hint="eastAsia"/>
                <w:sz w:val="20"/>
              </w:rPr>
              <w:t>170Ah</w:t>
            </w:r>
          </w:p>
        </w:tc>
        <w:tc>
          <w:tcPr>
            <w:tcW w:w="1719" w:type="dxa"/>
            <w:vAlign w:val="center"/>
          </w:tcPr>
          <w:p>
            <w:r>
              <w:rPr>
                <w:rFonts w:hint="eastAsia"/>
                <w:sz w:val="20"/>
              </w:rPr>
              <w:t>3</w:t>
            </w:r>
            <w:r>
              <w:rPr>
                <w:sz w:val="20"/>
              </w:rPr>
              <w:t>00-450W</w:t>
            </w:r>
          </w:p>
        </w:tc>
        <w:tc>
          <w:tcPr>
            <w:tcW w:w="1719" w:type="dxa"/>
            <w:vAlign w:val="center"/>
          </w:tcPr>
          <w:p>
            <w:pPr>
              <w:rPr>
                <w:sz w:val="20"/>
              </w:rPr>
            </w:pPr>
            <w:r>
              <w:rPr>
                <w:rFonts w:hint="eastAsia"/>
                <w:sz w:val="20"/>
              </w:rPr>
              <w:t>88次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311" w:type="dxa"/>
          </w:tcPr>
          <w:p>
            <w:r>
              <w:rPr>
                <w:rFonts w:hint="eastAsia"/>
                <w:sz w:val="20"/>
              </w:rPr>
              <w:t>电池包4</w:t>
            </w:r>
          </w:p>
        </w:tc>
        <w:tc>
          <w:tcPr>
            <w:tcW w:w="1570" w:type="dxa"/>
            <w:vAlign w:val="center"/>
          </w:tcPr>
          <w:p>
            <w:pPr>
              <w:rPr>
                <w:sz w:val="20"/>
              </w:rPr>
            </w:pPr>
            <w:r>
              <w:rPr>
                <w:rFonts w:hint="eastAsia"/>
                <w:sz w:val="20"/>
              </w:rPr>
              <w:t>LFP</w:t>
            </w:r>
          </w:p>
        </w:tc>
        <w:tc>
          <w:tcPr>
            <w:tcW w:w="1719" w:type="dxa"/>
            <w:vAlign w:val="center"/>
          </w:tcPr>
          <w:p>
            <w:pPr>
              <w:rPr>
                <w:sz w:val="20"/>
              </w:rPr>
            </w:pPr>
            <w:r>
              <w:rPr>
                <w:rFonts w:hint="eastAsia"/>
                <w:sz w:val="20"/>
              </w:rPr>
              <w:t>270Ah</w:t>
            </w:r>
          </w:p>
        </w:tc>
        <w:tc>
          <w:tcPr>
            <w:tcW w:w="1719" w:type="dxa"/>
            <w:vAlign w:val="center"/>
          </w:tcPr>
          <w:p>
            <w:r>
              <w:rPr>
                <w:rFonts w:hint="eastAsia"/>
                <w:sz w:val="20"/>
              </w:rPr>
              <w:t>3</w:t>
            </w:r>
            <w:r>
              <w:rPr>
                <w:sz w:val="20"/>
              </w:rPr>
              <w:t>00-450W</w:t>
            </w:r>
          </w:p>
        </w:tc>
        <w:tc>
          <w:tcPr>
            <w:tcW w:w="1719" w:type="dxa"/>
            <w:vAlign w:val="center"/>
          </w:tcPr>
          <w:p>
            <w:pPr>
              <w:rPr>
                <w:sz w:val="20"/>
              </w:rPr>
            </w:pPr>
            <w:r>
              <w:rPr>
                <w:rFonts w:hint="eastAsia"/>
                <w:sz w:val="20"/>
              </w:rPr>
              <w:t>13次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311" w:type="dxa"/>
          </w:tcPr>
          <w:p>
            <w:r>
              <w:rPr>
                <w:rFonts w:hint="eastAsia"/>
                <w:sz w:val="20"/>
              </w:rPr>
              <w:t>电池包5</w:t>
            </w:r>
          </w:p>
        </w:tc>
        <w:tc>
          <w:tcPr>
            <w:tcW w:w="1570" w:type="dxa"/>
            <w:vAlign w:val="center"/>
          </w:tcPr>
          <w:p>
            <w:pPr>
              <w:rPr>
                <w:sz w:val="20"/>
              </w:rPr>
            </w:pPr>
            <w:r>
              <w:rPr>
                <w:rFonts w:hint="eastAsia"/>
                <w:sz w:val="20"/>
              </w:rPr>
              <w:t>NCM</w:t>
            </w:r>
          </w:p>
        </w:tc>
        <w:tc>
          <w:tcPr>
            <w:tcW w:w="1719" w:type="dxa"/>
            <w:vAlign w:val="center"/>
          </w:tcPr>
          <w:p>
            <w:pPr>
              <w:rPr>
                <w:sz w:val="20"/>
              </w:rPr>
            </w:pPr>
            <w:r>
              <w:rPr>
                <w:rFonts w:hint="eastAsia"/>
                <w:sz w:val="20"/>
              </w:rPr>
              <w:t>5Ah</w:t>
            </w:r>
          </w:p>
        </w:tc>
        <w:tc>
          <w:tcPr>
            <w:tcW w:w="1719" w:type="dxa"/>
            <w:vAlign w:val="center"/>
          </w:tcPr>
          <w:p>
            <w:pPr>
              <w:rPr>
                <w:sz w:val="20"/>
              </w:rPr>
            </w:pPr>
            <w:r>
              <w:rPr>
                <w:rFonts w:hint="eastAsia"/>
                <w:sz w:val="20"/>
              </w:rPr>
              <w:t>150-300W</w:t>
            </w:r>
          </w:p>
        </w:tc>
        <w:tc>
          <w:tcPr>
            <w:tcW w:w="1719" w:type="dxa"/>
            <w:vAlign w:val="center"/>
          </w:tcPr>
          <w:p>
            <w:pPr>
              <w:rPr>
                <w:sz w:val="20"/>
              </w:rPr>
            </w:pPr>
            <w:r>
              <w:rPr>
                <w:rFonts w:hint="eastAsia"/>
                <w:sz w:val="20"/>
              </w:rPr>
              <w:t>9次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311" w:type="dxa"/>
          </w:tcPr>
          <w:p>
            <w:r>
              <w:rPr>
                <w:rFonts w:hint="eastAsia"/>
                <w:sz w:val="20"/>
              </w:rPr>
              <w:t>电池包6</w:t>
            </w:r>
          </w:p>
        </w:tc>
        <w:tc>
          <w:tcPr>
            <w:tcW w:w="1570" w:type="dxa"/>
            <w:vAlign w:val="center"/>
          </w:tcPr>
          <w:p>
            <w:pPr>
              <w:rPr>
                <w:sz w:val="20"/>
              </w:rPr>
            </w:pPr>
            <w:r>
              <w:rPr>
                <w:rFonts w:hint="eastAsia"/>
                <w:sz w:val="20"/>
              </w:rPr>
              <w:t>NCM</w:t>
            </w:r>
          </w:p>
        </w:tc>
        <w:tc>
          <w:tcPr>
            <w:tcW w:w="1719" w:type="dxa"/>
            <w:vAlign w:val="center"/>
          </w:tcPr>
          <w:p>
            <w:pPr>
              <w:rPr>
                <w:sz w:val="20"/>
              </w:rPr>
            </w:pPr>
            <w:r>
              <w:rPr>
                <w:rFonts w:hint="eastAsia"/>
                <w:sz w:val="20"/>
              </w:rPr>
              <w:t>50Ah</w:t>
            </w:r>
          </w:p>
        </w:tc>
        <w:tc>
          <w:tcPr>
            <w:tcW w:w="1719" w:type="dxa"/>
            <w:vAlign w:val="center"/>
          </w:tcPr>
          <w:p>
            <w:pPr>
              <w:rPr>
                <w:sz w:val="20"/>
              </w:rPr>
            </w:pPr>
            <w:r>
              <w:rPr>
                <w:rFonts w:hint="eastAsia"/>
                <w:sz w:val="20"/>
              </w:rPr>
              <w:t>150-300W</w:t>
            </w:r>
          </w:p>
        </w:tc>
        <w:tc>
          <w:tcPr>
            <w:tcW w:w="1719" w:type="dxa"/>
            <w:vAlign w:val="center"/>
          </w:tcPr>
          <w:p>
            <w:pPr>
              <w:rPr>
                <w:sz w:val="20"/>
              </w:rPr>
            </w:pPr>
            <w:r>
              <w:rPr>
                <w:rFonts w:hint="eastAsia"/>
                <w:sz w:val="20"/>
              </w:rPr>
              <w:t>21次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311" w:type="dxa"/>
          </w:tcPr>
          <w:p>
            <w:r>
              <w:rPr>
                <w:rFonts w:hint="eastAsia"/>
                <w:sz w:val="20"/>
              </w:rPr>
              <w:t>电池包7</w:t>
            </w:r>
          </w:p>
        </w:tc>
        <w:tc>
          <w:tcPr>
            <w:tcW w:w="1570" w:type="dxa"/>
            <w:vAlign w:val="center"/>
          </w:tcPr>
          <w:p>
            <w:pPr>
              <w:rPr>
                <w:sz w:val="20"/>
              </w:rPr>
            </w:pPr>
            <w:r>
              <w:rPr>
                <w:rFonts w:hint="eastAsia"/>
                <w:sz w:val="20"/>
              </w:rPr>
              <w:t>NCM</w:t>
            </w:r>
          </w:p>
        </w:tc>
        <w:tc>
          <w:tcPr>
            <w:tcW w:w="1719" w:type="dxa"/>
            <w:vAlign w:val="center"/>
          </w:tcPr>
          <w:p>
            <w:pPr>
              <w:rPr>
                <w:sz w:val="20"/>
              </w:rPr>
            </w:pPr>
            <w:r>
              <w:rPr>
                <w:rFonts w:hint="eastAsia"/>
                <w:sz w:val="20"/>
              </w:rPr>
              <w:t>80Ah</w:t>
            </w:r>
          </w:p>
        </w:tc>
        <w:tc>
          <w:tcPr>
            <w:tcW w:w="1719" w:type="dxa"/>
            <w:vAlign w:val="center"/>
          </w:tcPr>
          <w:p>
            <w:pPr>
              <w:rPr>
                <w:sz w:val="20"/>
              </w:rPr>
            </w:pPr>
            <w:r>
              <w:rPr>
                <w:rFonts w:hint="eastAsia"/>
                <w:sz w:val="20"/>
              </w:rPr>
              <w:t>150-300W</w:t>
            </w:r>
          </w:p>
        </w:tc>
        <w:tc>
          <w:tcPr>
            <w:tcW w:w="1719" w:type="dxa"/>
            <w:vAlign w:val="center"/>
          </w:tcPr>
          <w:p>
            <w:pPr>
              <w:rPr>
                <w:sz w:val="20"/>
              </w:rPr>
            </w:pPr>
            <w:r>
              <w:rPr>
                <w:rFonts w:hint="eastAsia"/>
                <w:sz w:val="20"/>
              </w:rPr>
              <w:t>19次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311" w:type="dxa"/>
          </w:tcPr>
          <w:p>
            <w:r>
              <w:rPr>
                <w:rFonts w:hint="eastAsia"/>
                <w:sz w:val="20"/>
              </w:rPr>
              <w:t>电池包8</w:t>
            </w:r>
          </w:p>
        </w:tc>
        <w:tc>
          <w:tcPr>
            <w:tcW w:w="1570" w:type="dxa"/>
            <w:vAlign w:val="center"/>
          </w:tcPr>
          <w:p>
            <w:pPr>
              <w:rPr>
                <w:sz w:val="20"/>
              </w:rPr>
            </w:pPr>
            <w:r>
              <w:rPr>
                <w:rFonts w:hint="eastAsia"/>
                <w:sz w:val="20"/>
              </w:rPr>
              <w:t>NCM</w:t>
            </w:r>
          </w:p>
        </w:tc>
        <w:tc>
          <w:tcPr>
            <w:tcW w:w="1719" w:type="dxa"/>
            <w:vAlign w:val="center"/>
          </w:tcPr>
          <w:p>
            <w:pPr>
              <w:rPr>
                <w:sz w:val="20"/>
              </w:rPr>
            </w:pPr>
            <w:r>
              <w:rPr>
                <w:rFonts w:hint="eastAsia"/>
                <w:sz w:val="20"/>
              </w:rPr>
              <w:t>120Ah</w:t>
            </w:r>
          </w:p>
        </w:tc>
        <w:tc>
          <w:tcPr>
            <w:tcW w:w="1719" w:type="dxa"/>
            <w:vAlign w:val="center"/>
          </w:tcPr>
          <w:p>
            <w:pPr>
              <w:rPr>
                <w:sz w:val="20"/>
              </w:rPr>
            </w:pPr>
            <w:r>
              <w:rPr>
                <w:rFonts w:hint="eastAsia"/>
                <w:sz w:val="20"/>
              </w:rPr>
              <w:t>150-300W</w:t>
            </w:r>
          </w:p>
        </w:tc>
        <w:tc>
          <w:tcPr>
            <w:tcW w:w="1719" w:type="dxa"/>
            <w:vAlign w:val="center"/>
          </w:tcPr>
          <w:p>
            <w:pPr>
              <w:rPr>
                <w:sz w:val="20"/>
              </w:rPr>
            </w:pPr>
            <w:r>
              <w:rPr>
                <w:rFonts w:hint="eastAsia"/>
                <w:sz w:val="20"/>
              </w:rPr>
              <w:t>32次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311" w:type="dxa"/>
          </w:tcPr>
          <w:p>
            <w:r>
              <w:rPr>
                <w:rFonts w:hint="eastAsia"/>
                <w:sz w:val="20"/>
              </w:rPr>
              <w:t>电池包9</w:t>
            </w:r>
          </w:p>
        </w:tc>
        <w:tc>
          <w:tcPr>
            <w:tcW w:w="1570" w:type="dxa"/>
            <w:vAlign w:val="center"/>
          </w:tcPr>
          <w:p>
            <w:pPr>
              <w:rPr>
                <w:sz w:val="20"/>
              </w:rPr>
            </w:pPr>
            <w:r>
              <w:rPr>
                <w:rFonts w:hint="eastAsia"/>
                <w:sz w:val="20"/>
              </w:rPr>
              <w:t>NCM</w:t>
            </w:r>
          </w:p>
        </w:tc>
        <w:tc>
          <w:tcPr>
            <w:tcW w:w="1719" w:type="dxa"/>
            <w:vAlign w:val="center"/>
          </w:tcPr>
          <w:p>
            <w:pPr>
              <w:rPr>
                <w:sz w:val="20"/>
              </w:rPr>
            </w:pPr>
            <w:r>
              <w:rPr>
                <w:rFonts w:hint="eastAsia"/>
                <w:sz w:val="20"/>
              </w:rPr>
              <w:t>150Ah</w:t>
            </w:r>
          </w:p>
        </w:tc>
        <w:tc>
          <w:tcPr>
            <w:tcW w:w="1719" w:type="dxa"/>
            <w:vAlign w:val="center"/>
          </w:tcPr>
          <w:p>
            <w:pPr>
              <w:rPr>
                <w:sz w:val="20"/>
              </w:rPr>
            </w:pPr>
            <w:r>
              <w:rPr>
                <w:rFonts w:hint="eastAsia"/>
                <w:sz w:val="20"/>
              </w:rPr>
              <w:t>150-300W</w:t>
            </w:r>
          </w:p>
        </w:tc>
        <w:tc>
          <w:tcPr>
            <w:tcW w:w="1719" w:type="dxa"/>
            <w:vAlign w:val="center"/>
          </w:tcPr>
          <w:p>
            <w:pPr>
              <w:rPr>
                <w:sz w:val="20"/>
              </w:rPr>
            </w:pPr>
            <w:r>
              <w:rPr>
                <w:rFonts w:hint="eastAsia"/>
                <w:sz w:val="20"/>
              </w:rPr>
              <w:t>16次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311" w:type="dxa"/>
          </w:tcPr>
          <w:p>
            <w:r>
              <w:rPr>
                <w:rFonts w:hint="eastAsia"/>
                <w:sz w:val="20"/>
              </w:rPr>
              <w:t>电池包10</w:t>
            </w:r>
          </w:p>
        </w:tc>
        <w:tc>
          <w:tcPr>
            <w:tcW w:w="1570" w:type="dxa"/>
            <w:vAlign w:val="center"/>
          </w:tcPr>
          <w:p>
            <w:pPr>
              <w:rPr>
                <w:sz w:val="20"/>
              </w:rPr>
            </w:pPr>
            <w:r>
              <w:rPr>
                <w:rFonts w:hint="eastAsia"/>
                <w:sz w:val="20"/>
              </w:rPr>
              <w:t>NCM</w:t>
            </w:r>
          </w:p>
        </w:tc>
        <w:tc>
          <w:tcPr>
            <w:tcW w:w="1719" w:type="dxa"/>
            <w:vAlign w:val="center"/>
          </w:tcPr>
          <w:p>
            <w:pPr>
              <w:rPr>
                <w:sz w:val="20"/>
              </w:rPr>
            </w:pPr>
            <w:r>
              <w:rPr>
                <w:rFonts w:hint="eastAsia"/>
                <w:sz w:val="20"/>
              </w:rPr>
              <w:t>170Ah</w:t>
            </w:r>
          </w:p>
        </w:tc>
        <w:tc>
          <w:tcPr>
            <w:tcW w:w="1719" w:type="dxa"/>
            <w:vAlign w:val="center"/>
          </w:tcPr>
          <w:p>
            <w:pPr>
              <w:rPr>
                <w:sz w:val="20"/>
              </w:rPr>
            </w:pPr>
            <w:r>
              <w:rPr>
                <w:rFonts w:hint="eastAsia"/>
                <w:sz w:val="20"/>
              </w:rPr>
              <w:t>150-300W</w:t>
            </w:r>
          </w:p>
        </w:tc>
        <w:tc>
          <w:tcPr>
            <w:tcW w:w="1719" w:type="dxa"/>
            <w:vAlign w:val="center"/>
          </w:tcPr>
          <w:p>
            <w:pPr>
              <w:rPr>
                <w:sz w:val="20"/>
              </w:rPr>
            </w:pPr>
            <w:r>
              <w:rPr>
                <w:rFonts w:hint="eastAsia"/>
                <w:sz w:val="20"/>
              </w:rPr>
              <w:t>27次</w:t>
            </w:r>
          </w:p>
        </w:tc>
      </w:tr>
    </w:tbl>
    <w:p>
      <w:pPr>
        <w:spacing w:line="360" w:lineRule="auto"/>
        <w:ind w:firstLine="199" w:firstLineChars="95"/>
      </w:pPr>
      <w:r>
        <w:rPr>
          <w:rFonts w:hint="eastAsia"/>
        </w:rPr>
        <w:t>c）判定逻辑</w:t>
      </w:r>
    </w:p>
    <w:p>
      <w:pPr>
        <w:spacing w:line="360" w:lineRule="auto"/>
        <w:ind w:firstLine="420"/>
        <w:jc w:val="both"/>
      </w:pPr>
      <w:r>
        <w:rPr>
          <w:rFonts w:hint="eastAsia"/>
        </w:rPr>
        <w:t>在将内加热触发方法作为推荐方法之后，标准中规定的触发方法扩大到三种。试验时，制造商可自行选择其中一种触发方法，也可自行选择其他方法来触发热失控。当</w:t>
      </w:r>
      <w:r>
        <w:t>采用推荐的</w:t>
      </w:r>
      <w:r>
        <w:rPr>
          <w:rFonts w:hint="eastAsia"/>
        </w:rPr>
        <w:t>三种触发</w:t>
      </w:r>
      <w:r>
        <w:t>方法</w:t>
      </w:r>
      <w:r>
        <w:rPr>
          <w:rFonts w:hint="eastAsia"/>
        </w:rPr>
        <w:t>均</w:t>
      </w:r>
      <w:r>
        <w:t>未</w:t>
      </w:r>
      <w:r>
        <w:rPr>
          <w:rFonts w:hint="eastAsia"/>
        </w:rPr>
        <w:t>触发</w:t>
      </w:r>
      <w:r>
        <w:t>热失控，</w:t>
      </w:r>
      <w:r>
        <w:rPr>
          <w:rFonts w:hint="eastAsia"/>
        </w:rPr>
        <w:t>则认为电池产品无法被触发热失控，试验通过；若电池单体发生了热失控，则应观察电池包或系统在不晚于热失控发生后的5min内是否发出热事件报警信号，如未发出，则判定试验失效；如发出热事件报警信号，则应观察① 电池包或系统是否发生起火、爆炸，② 烟气在报警信号发出之前，以及之后5min内是否进入乘客舱，若以上任一种情况发生，则认为试验失败，只有两种情况均未发生，则可判定试验通过要求。</w:t>
      </w:r>
    </w:p>
    <w:p>
      <w:pPr>
        <w:spacing w:line="360" w:lineRule="auto"/>
        <w:ind w:firstLine="420"/>
        <w:jc w:val="center"/>
      </w:pPr>
      <w:r>
        <w:drawing>
          <wp:inline distT="0" distB="0" distL="0" distR="0">
            <wp:extent cx="5274310" cy="2283460"/>
            <wp:effectExtent l="0" t="0" r="2540" b="2540"/>
            <wp:docPr id="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
                    <pic:cNvPicPr>
                      <a:picLocks noChangeAspect="1"/>
                    </pic:cNvPicPr>
                  </pic:nvPicPr>
                  <pic:blipFill>
                    <a:blip r:embed="rId20"/>
                    <a:stretch>
                      <a:fillRect/>
                    </a:stretch>
                  </pic:blipFill>
                  <pic:spPr>
                    <a:xfrm>
                      <a:off x="0" y="0"/>
                      <a:ext cx="5274310" cy="2283460"/>
                    </a:xfrm>
                    <a:prstGeom prst="rect">
                      <a:avLst/>
                    </a:prstGeom>
                  </pic:spPr>
                </pic:pic>
              </a:graphicData>
            </a:graphic>
          </wp:inline>
        </w:drawing>
      </w:r>
    </w:p>
    <w:p>
      <w:pPr>
        <w:spacing w:line="400" w:lineRule="exact"/>
        <w:ind w:firstLine="190" w:firstLineChars="95"/>
        <w:jc w:val="center"/>
        <w:rPr>
          <w:sz w:val="20"/>
          <w:szCs w:val="20"/>
        </w:rPr>
      </w:pPr>
      <w:r>
        <w:rPr>
          <w:rFonts w:hint="eastAsia"/>
          <w:sz w:val="20"/>
          <w:szCs w:val="20"/>
        </w:rPr>
        <w:t>图5.</w:t>
      </w:r>
      <w:r>
        <w:rPr>
          <w:sz w:val="20"/>
          <w:szCs w:val="20"/>
        </w:rPr>
        <w:t xml:space="preserve"> </w:t>
      </w:r>
      <w:r>
        <w:rPr>
          <w:rFonts w:hint="eastAsia"/>
          <w:sz w:val="20"/>
          <w:szCs w:val="20"/>
        </w:rPr>
        <w:t>热扩散试验判定流程图</w:t>
      </w:r>
    </w:p>
    <w:p>
      <w:pPr>
        <w:pStyle w:val="3"/>
        <w:numPr>
          <w:ilvl w:val="0"/>
          <w:numId w:val="6"/>
        </w:numPr>
        <w:spacing w:line="360" w:lineRule="auto"/>
        <w:ind w:left="720"/>
        <w:jc w:val="both"/>
        <w:rPr>
          <w:szCs w:val="21"/>
        </w:rPr>
      </w:pPr>
      <w:r>
        <w:rPr>
          <w:rFonts w:hint="eastAsia"/>
        </w:rPr>
        <w:t>电池单体充电后安全</w:t>
      </w:r>
    </w:p>
    <w:p>
      <w:pPr>
        <w:tabs>
          <w:tab w:val="left" w:pos="1440"/>
        </w:tabs>
        <w:spacing w:line="360" w:lineRule="auto"/>
        <w:ind w:firstLine="420"/>
        <w:jc w:val="both"/>
      </w:pPr>
      <w:r>
        <w:rPr>
          <w:rFonts w:hint="eastAsia"/>
        </w:rPr>
        <w:t>自2022年起，专题研究组围绕充电后安全开展多次专题讨论。对于充电桩、电池管理系统失效导致的过充、过流，在现行GB 38031中已有单体过充、系统过充保护、过流保护测试予以考查。对于长期循环是否导致电池额外安全风险，行业存在一定分歧。部分企业提供了快充循环后电池安全边界缩窄，安全性降低的测试数据。部分</w:t>
      </w:r>
      <w:r>
        <w:t>企业认为</w:t>
      </w:r>
      <w:r>
        <w:rPr>
          <w:rFonts w:hint="eastAsia"/>
        </w:rPr>
        <w:t>电池的设计端均已考虑使用场景中充放电工况，在预留出足够保护区间后释放产品应用区间。老化状态下电池活性物质部分消耗，且电池能量降低。因此认为充电循环后电池相比常规电池，无额外安全风险。</w:t>
      </w:r>
      <w:r>
        <w:t>起草组综合考虑长期快充对于动力电池</w:t>
      </w:r>
      <w:r>
        <w:rPr>
          <w:rFonts w:hint="eastAsia"/>
        </w:rPr>
        <w:t>可能存在的</w:t>
      </w:r>
      <w:r>
        <w:t>潜在风险，结合现有研究数据，起草了征求意见稿方案</w:t>
      </w:r>
      <w:r>
        <w:rPr>
          <w:rFonts w:hint="eastAsia"/>
        </w:rPr>
        <w:t>：</w:t>
      </w:r>
    </w:p>
    <w:p>
      <w:pPr>
        <w:tabs>
          <w:tab w:val="left" w:pos="1440"/>
        </w:tabs>
        <w:spacing w:line="360" w:lineRule="auto"/>
        <w:ind w:firstLine="420"/>
        <w:jc w:val="both"/>
      </w:pPr>
      <w:r>
        <w:rPr>
          <w:rFonts w:hint="eastAsia"/>
        </w:rPr>
        <w:t>结合《节能与新能源汽车技术路线图 2.0》对于快充型动力电池充电倍率要求，将试验对象设定为20%SOC-80%SOC充电时间小于15分钟的电池单体（不含用于不可外接充电混合动力电动汽车的电池单体）；循环次数以12万公里，快充电量对应里程400公里计，设定为300次。考虑到快充循环后内部副反应加剧甚至出现析锂问题，存在局部的性能劣化。这种局部性能劣化在大电流放电过程中表现为高阻抗部分（即副反应严重区域）升温显著，外部短路测试时，长期快充循环的电池内部副反应聚集区或析锂区域会在温升较高的情况下加剧反应速度，进而导致电池起火，因此设定在快充循环后的进行外部短路测试</w:t>
      </w:r>
      <w:r>
        <w:rPr>
          <w:rFonts w:hint="eastAsia"/>
          <w:lang w:eastAsia="zh-CN"/>
        </w:rPr>
        <w:t>，</w:t>
      </w:r>
      <w:r>
        <w:rPr>
          <w:rFonts w:hint="eastAsia"/>
          <w:lang w:val="en-US" w:eastAsia="zh-CN"/>
        </w:rPr>
        <w:t>并</w:t>
      </w:r>
      <w:r>
        <w:t>通过征求意见阶段进一步收集行业意见，并开展验证测试，进一步确认或优化征求意见稿方案</w:t>
      </w:r>
      <w:r>
        <w:rPr>
          <w:rFonts w:hint="eastAsia"/>
        </w:rPr>
        <w:t>。</w:t>
      </w:r>
    </w:p>
    <w:p>
      <w:pPr>
        <w:pStyle w:val="3"/>
        <w:numPr>
          <w:ilvl w:val="0"/>
          <w:numId w:val="6"/>
        </w:numPr>
        <w:spacing w:line="360" w:lineRule="auto"/>
        <w:ind w:left="720"/>
        <w:jc w:val="both"/>
        <w:rPr>
          <w:szCs w:val="21"/>
        </w:rPr>
      </w:pPr>
      <w:r>
        <w:rPr>
          <w:rFonts w:hint="eastAsia"/>
          <w:szCs w:val="21"/>
        </w:rPr>
        <w:t>电池包或系统底部防护</w:t>
      </w:r>
    </w:p>
    <w:p>
      <w:pPr>
        <w:spacing w:line="360" w:lineRule="auto"/>
        <w:ind w:firstLine="420" w:firstLineChars="200"/>
        <w:jc w:val="both"/>
      </w:pPr>
      <w:r>
        <w:rPr>
          <w:rFonts w:hint="eastAsia"/>
        </w:rPr>
        <w:t>近年来，新能源汽车底部撞击导致的动力电池起火事故中占比较高，现行标准中并无针对该场景的测试项目。目前，行业内广泛认可的底部碰撞工况分为两类，即刮底工况（X向）和托底工况（Z向）。刮底工况对应车辆正面撞击障碍物的场景，托底工况主要是对应飞石、地面障碍物等异物从车辆下方撞击的场景。多数企业认同以上两种工况试验的必要性，前期主要分歧在于测试对象是电池还是整车。整车测试更符合实际场景，但测试费用、周期较长。电池测试更加简便，但较难体现整车实际底盘布置、挂载刚度、质量分布特征。经行业多次讨论，一致认为需要根据整车实际工况开发电池底部碰撞试验方案。刮底工况试验结果与整车底部护板、悬架、离地间隙、防撞梁等因素强相关，建议通过整车级别测试实施，在后续相关整车标准修订中进一步研究。基于托底工况的底部撞击试验可允许制造商选择在电池包或整车级别实施。</w:t>
      </w:r>
    </w:p>
    <w:p>
      <w:pPr>
        <w:spacing w:line="360" w:lineRule="auto"/>
        <w:ind w:firstLine="420" w:firstLineChars="200"/>
        <w:jc w:val="both"/>
      </w:pPr>
      <w:r>
        <w:rPr>
          <w:rFonts w:hint="eastAsia"/>
        </w:rPr>
        <w:t>在底部撞击试验方案前期讨论中，行业内针对考核目的（安全测试/可靠性测试）、撞击能量等存在一定的分歧。</w:t>
      </w:r>
      <w:r>
        <w:t>起草组针对前期行业讨论情况，基于目前已收集到的实车</w:t>
      </w:r>
      <w:r>
        <w:rPr>
          <w:rFonts w:hint="eastAsia"/>
        </w:rPr>
        <w:t>和电池包</w:t>
      </w:r>
      <w:r>
        <w:t>数据</w:t>
      </w:r>
      <w:r>
        <w:rPr>
          <w:rFonts w:hint="eastAsia"/>
        </w:rPr>
        <w:t>以及</w:t>
      </w:r>
      <w:r>
        <w:t>验证测试情况起草了征求意见稿方案，计划</w:t>
      </w:r>
      <w:r>
        <w:rPr>
          <w:rFonts w:hint="eastAsia"/>
        </w:rPr>
        <w:t>在</w:t>
      </w:r>
      <w:r>
        <w:t>征求意见阶段进一步收集实车数据和行业意见，并开展验证测试，进一步确认或优化征求意见稿方案。</w:t>
      </w:r>
    </w:p>
    <w:p>
      <w:pPr>
        <w:spacing w:line="360" w:lineRule="auto"/>
        <w:jc w:val="both"/>
      </w:pPr>
      <w:r>
        <w:rPr>
          <w:rFonts w:hint="eastAsia"/>
        </w:rPr>
        <w:t>1）底部撞击球头尺寸</w:t>
      </w:r>
    </w:p>
    <w:p>
      <w:pPr>
        <w:spacing w:line="360" w:lineRule="auto"/>
        <w:ind w:firstLine="435"/>
        <w:jc w:val="both"/>
      </w:pPr>
      <w:r>
        <w:rPr>
          <w:rFonts w:hint="eastAsia"/>
        </w:rPr>
        <w:t>通过搜集的不同车型（共317例）电池包底部损伤数据，发现电池包底部损伤位置直径≥30mm的比例超过</w:t>
      </w:r>
      <w:r>
        <w:t>80</w:t>
      </w:r>
      <w:r>
        <w:rPr>
          <w:rFonts w:hint="eastAsia"/>
        </w:rPr>
        <w:t>%，具有较高的集中度，因此将球头定为直径30mm的半球形，材质为钢。</w:t>
      </w:r>
    </w:p>
    <w:p>
      <w:pPr>
        <w:spacing w:line="360" w:lineRule="auto"/>
        <w:ind w:firstLine="435"/>
        <w:jc w:val="center"/>
      </w:pPr>
      <w:r>
        <w:drawing>
          <wp:inline distT="0" distB="0" distL="0" distR="0">
            <wp:extent cx="2907030" cy="2336165"/>
            <wp:effectExtent l="0" t="0" r="7620" b="6985"/>
            <wp:docPr id="5" name="图片 5" descr="C:\Users\chenshil\AppData\Roaming\DingTalk\2923832253_v2\resource_cache\c9\c9609114d42c862e893093bbe3b23a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chenshil\AppData\Roaming\DingTalk\2923832253_v2\resource_cache\c9\c9609114d42c862e893093bbe3b23afa.png"/>
                    <pic:cNvPicPr>
                      <a:picLocks noChangeAspect="1" noChangeArrowheads="1"/>
                    </pic:cNvPicPr>
                  </pic:nvPicPr>
                  <pic:blipFill>
                    <a:blip r:embed="rId21">
                      <a:extLst>
                        <a:ext uri="{28A0092B-C50C-407E-A947-70E740481C1C}">
                          <a14:useLocalDpi xmlns:a14="http://schemas.microsoft.com/office/drawing/2010/main" val="0"/>
                        </a:ext>
                      </a:extLst>
                    </a:blip>
                    <a:srcRect l="14941" t="3065" r="12386" b="1102"/>
                    <a:stretch>
                      <a:fillRect/>
                    </a:stretch>
                  </pic:blipFill>
                  <pic:spPr>
                    <a:xfrm>
                      <a:off x="0" y="0"/>
                      <a:ext cx="2915708" cy="2343467"/>
                    </a:xfrm>
                    <a:prstGeom prst="rect">
                      <a:avLst/>
                    </a:prstGeom>
                    <a:noFill/>
                    <a:ln>
                      <a:noFill/>
                    </a:ln>
                  </pic:spPr>
                </pic:pic>
              </a:graphicData>
            </a:graphic>
          </wp:inline>
        </w:drawing>
      </w:r>
    </w:p>
    <w:p>
      <w:pPr>
        <w:spacing w:line="400" w:lineRule="exact"/>
        <w:ind w:firstLine="190" w:firstLineChars="95"/>
        <w:jc w:val="center"/>
        <w:rPr>
          <w:sz w:val="20"/>
          <w:szCs w:val="20"/>
        </w:rPr>
      </w:pPr>
      <w:r>
        <w:rPr>
          <w:rFonts w:hint="eastAsia"/>
          <w:sz w:val="20"/>
          <w:szCs w:val="20"/>
        </w:rPr>
        <w:t>图6</w:t>
      </w:r>
      <w:r>
        <w:rPr>
          <w:sz w:val="20"/>
          <w:szCs w:val="20"/>
        </w:rPr>
        <w:t xml:space="preserve">. </w:t>
      </w:r>
      <w:r>
        <w:rPr>
          <w:rFonts w:hint="eastAsia"/>
          <w:sz w:val="20"/>
          <w:szCs w:val="20"/>
        </w:rPr>
        <w:t>电池包损伤宽度统计</w:t>
      </w:r>
    </w:p>
    <w:p>
      <w:pPr>
        <w:spacing w:line="360" w:lineRule="auto"/>
        <w:jc w:val="both"/>
      </w:pPr>
      <w:r>
        <w:rPr>
          <w:rFonts w:hint="eastAsia"/>
        </w:rPr>
        <w:t>2）撞击能量</w:t>
      </w:r>
    </w:p>
    <w:p>
      <w:pPr>
        <w:spacing w:line="360" w:lineRule="auto"/>
        <w:ind w:firstLine="420" w:firstLineChars="200"/>
        <w:jc w:val="both"/>
        <w:rPr>
          <w:rFonts w:hint="eastAsia" w:eastAsia="宋体"/>
          <w:lang w:val="en-US" w:eastAsia="zh-CN"/>
        </w:rPr>
      </w:pPr>
      <w:r>
        <w:rPr>
          <w:rFonts w:hint="eastAsia"/>
        </w:rPr>
        <w:t>底部撞击坑深与能量有直接关系，也是影响电池安全的重要因素。</w:t>
      </w:r>
      <w:r>
        <w:rPr>
          <w:rFonts w:hint="eastAsia"/>
          <w:lang w:val="en-US" w:eastAsia="zh-CN"/>
        </w:rPr>
        <w:t>根据图7中损伤能量统计情况，设定</w:t>
      </w:r>
      <w:r>
        <w:rPr>
          <w:rFonts w:hint="eastAsia"/>
        </w:rPr>
        <w:t>底部冲击能量为150J</w:t>
      </w:r>
      <w:r>
        <w:rPr>
          <w:rFonts w:hint="eastAsia"/>
          <w:lang w:eastAsia="zh-CN"/>
        </w:rPr>
        <w:t>。</w:t>
      </w:r>
    </w:p>
    <w:p>
      <w:pPr>
        <w:spacing w:line="360" w:lineRule="auto"/>
        <w:ind w:firstLine="420"/>
        <w:jc w:val="center"/>
        <w:rPr>
          <w:sz w:val="20"/>
          <w:szCs w:val="20"/>
        </w:rPr>
      </w:pPr>
      <w:r>
        <w:rPr>
          <w:sz w:val="20"/>
          <w:szCs w:val="20"/>
        </w:rPr>
        <w:drawing>
          <wp:inline distT="0" distB="0" distL="114300" distR="114300">
            <wp:extent cx="2586990" cy="1767840"/>
            <wp:effectExtent l="0" t="0" r="3810" b="381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2"/>
                    <a:stretch>
                      <a:fillRect/>
                    </a:stretch>
                  </pic:blipFill>
                  <pic:spPr>
                    <a:xfrm>
                      <a:off x="0" y="0"/>
                      <a:ext cx="2606041" cy="1781181"/>
                    </a:xfrm>
                    <a:prstGeom prst="rect">
                      <a:avLst/>
                    </a:prstGeom>
                  </pic:spPr>
                </pic:pic>
              </a:graphicData>
            </a:graphic>
          </wp:inline>
        </w:drawing>
      </w:r>
    </w:p>
    <w:p>
      <w:pPr>
        <w:spacing w:line="360" w:lineRule="auto"/>
        <w:ind w:firstLine="420"/>
        <w:jc w:val="center"/>
      </w:pPr>
      <w:r>
        <w:rPr>
          <w:rFonts w:hint="eastAsia"/>
          <w:sz w:val="20"/>
          <w:szCs w:val="20"/>
        </w:rPr>
        <w:t xml:space="preserve"> </w:t>
      </w:r>
      <w:r>
        <w:rPr>
          <w:sz w:val="20"/>
          <w:szCs w:val="20"/>
        </w:rPr>
        <w:t xml:space="preserve"> </w:t>
      </w:r>
      <w:r>
        <w:rPr>
          <w:rFonts w:hint="eastAsia"/>
          <w:sz w:val="20"/>
          <w:szCs w:val="20"/>
        </w:rPr>
        <w:t>图7</w:t>
      </w:r>
      <w:r>
        <w:rPr>
          <w:sz w:val="20"/>
          <w:szCs w:val="20"/>
        </w:rPr>
        <w:t xml:space="preserve">. </w:t>
      </w:r>
      <w:r>
        <w:rPr>
          <w:rFonts w:hint="eastAsia"/>
          <w:sz w:val="20"/>
          <w:szCs w:val="20"/>
        </w:rPr>
        <w:t>电池包损伤能量统计</w:t>
      </w:r>
    </w:p>
    <w:p>
      <w:pPr>
        <w:spacing w:line="360" w:lineRule="auto"/>
      </w:pPr>
      <w:r>
        <w:rPr>
          <w:rFonts w:hint="eastAsia"/>
        </w:rPr>
        <w:t>3）底部撞击位置</w:t>
      </w:r>
    </w:p>
    <w:p>
      <w:pPr>
        <w:spacing w:line="360" w:lineRule="auto"/>
        <w:ind w:firstLine="435"/>
        <w:jc w:val="both"/>
      </w:pPr>
      <w:r>
        <w:rPr>
          <w:rFonts w:hint="eastAsia"/>
        </w:rPr>
        <w:t>整车在实际行驶中路面环境复杂多样且电池包底部占整车底盘区域大，各部位均会受到底部撞击。原则上应当以电池包或系统薄弱的位置作为撞击点，而不同产品设计存在较大差异，因此由制造商提供的薄弱点作为撞击目标点位。</w:t>
      </w:r>
    </w:p>
    <w:p>
      <w:pPr>
        <w:spacing w:line="360" w:lineRule="auto"/>
        <w:ind w:firstLine="435"/>
        <w:jc w:val="center"/>
      </w:pPr>
      <w:r>
        <w:drawing>
          <wp:inline distT="0" distB="0" distL="0" distR="0">
            <wp:extent cx="3324225" cy="1590675"/>
            <wp:effectExtent l="0" t="0" r="0"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23"/>
                    <a:stretch>
                      <a:fillRect/>
                    </a:stretch>
                  </pic:blipFill>
                  <pic:spPr>
                    <a:xfrm>
                      <a:off x="0" y="0"/>
                      <a:ext cx="3336607" cy="1597107"/>
                    </a:xfrm>
                    <a:prstGeom prst="rect">
                      <a:avLst/>
                    </a:prstGeom>
                  </pic:spPr>
                </pic:pic>
              </a:graphicData>
            </a:graphic>
          </wp:inline>
        </w:drawing>
      </w:r>
    </w:p>
    <w:p>
      <w:pPr>
        <w:spacing w:line="400" w:lineRule="exact"/>
        <w:ind w:firstLine="190" w:firstLineChars="95"/>
        <w:jc w:val="center"/>
      </w:pPr>
      <w:r>
        <w:rPr>
          <w:rFonts w:hint="eastAsia"/>
          <w:sz w:val="20"/>
          <w:szCs w:val="20"/>
        </w:rPr>
        <w:t xml:space="preserve"> </w:t>
      </w:r>
      <w:r>
        <w:rPr>
          <w:sz w:val="20"/>
          <w:szCs w:val="20"/>
        </w:rPr>
        <w:t xml:space="preserve">   </w:t>
      </w:r>
      <w:r>
        <w:rPr>
          <w:rFonts w:hint="eastAsia"/>
          <w:sz w:val="20"/>
          <w:szCs w:val="20"/>
        </w:rPr>
        <w:t>图8</w:t>
      </w:r>
      <w:r>
        <w:rPr>
          <w:sz w:val="20"/>
          <w:szCs w:val="20"/>
        </w:rPr>
        <w:t xml:space="preserve">. </w:t>
      </w:r>
      <w:r>
        <w:rPr>
          <w:rFonts w:hint="eastAsia"/>
          <w:sz w:val="20"/>
          <w:szCs w:val="20"/>
        </w:rPr>
        <w:t>电池包底部损伤位置统计</w:t>
      </w:r>
    </w:p>
    <w:p>
      <w:pPr>
        <w:spacing w:line="360" w:lineRule="auto"/>
        <w:jc w:val="both"/>
        <w:rPr>
          <w:rFonts w:hint="eastAsia"/>
          <w:sz w:val="20"/>
          <w:szCs w:val="20"/>
        </w:rPr>
      </w:pPr>
      <w:r>
        <w:rPr>
          <w:rFonts w:hint="eastAsia"/>
          <w:sz w:val="20"/>
          <w:szCs w:val="20"/>
        </w:rPr>
        <w:t>4）豁免条件</w:t>
      </w:r>
    </w:p>
    <w:p>
      <w:pPr>
        <w:spacing w:line="360" w:lineRule="auto"/>
        <w:ind w:firstLine="400" w:firstLineChars="200"/>
        <w:jc w:val="both"/>
        <w:rPr>
          <w:rFonts w:hint="eastAsia"/>
          <w:sz w:val="20"/>
          <w:szCs w:val="20"/>
        </w:rPr>
      </w:pPr>
      <w:r>
        <w:rPr>
          <w:rFonts w:hint="eastAsia"/>
          <w:sz w:val="20"/>
          <w:szCs w:val="20"/>
        </w:rPr>
        <w:t>考虑到部分车型的电池包</w:t>
      </w:r>
      <w:r>
        <w:rPr>
          <w:rFonts w:hint="eastAsia"/>
          <w:sz w:val="20"/>
          <w:szCs w:val="20"/>
          <w:lang w:val="en-US" w:eastAsia="zh-CN"/>
        </w:rPr>
        <w:t>未</w:t>
      </w:r>
      <w:r>
        <w:rPr>
          <w:rFonts w:hint="eastAsia"/>
          <w:sz w:val="20"/>
          <w:szCs w:val="20"/>
        </w:rPr>
        <w:t>在车辆底部安装，</w:t>
      </w:r>
      <w:r>
        <w:rPr>
          <w:rFonts w:hint="eastAsia"/>
          <w:sz w:val="20"/>
          <w:szCs w:val="20"/>
          <w:lang w:val="en-US" w:eastAsia="zh-CN"/>
        </w:rPr>
        <w:t>不涉及</w:t>
      </w:r>
      <w:r>
        <w:rPr>
          <w:rFonts w:hint="eastAsia"/>
          <w:sz w:val="20"/>
          <w:szCs w:val="20"/>
        </w:rPr>
        <w:t>底部撞击</w:t>
      </w:r>
      <w:r>
        <w:rPr>
          <w:rFonts w:hint="eastAsia"/>
          <w:sz w:val="20"/>
          <w:szCs w:val="20"/>
          <w:lang w:val="en-US" w:eastAsia="zh-CN"/>
        </w:rPr>
        <w:t>风险因素</w:t>
      </w:r>
      <w:r>
        <w:rPr>
          <w:rFonts w:hint="eastAsia"/>
          <w:sz w:val="20"/>
          <w:szCs w:val="20"/>
        </w:rPr>
        <w:t>，</w:t>
      </w:r>
      <w:r>
        <w:rPr>
          <w:rFonts w:hint="eastAsia"/>
          <w:sz w:val="20"/>
          <w:szCs w:val="20"/>
          <w:lang w:val="en-US" w:eastAsia="zh-CN"/>
        </w:rPr>
        <w:t>因此</w:t>
      </w:r>
      <w:r>
        <w:rPr>
          <w:rFonts w:hint="eastAsia"/>
          <w:sz w:val="20"/>
          <w:szCs w:val="20"/>
        </w:rPr>
        <w:t>标准明确对此类车型</w:t>
      </w:r>
      <w:r>
        <w:rPr>
          <w:rFonts w:hint="eastAsia"/>
          <w:sz w:val="20"/>
          <w:szCs w:val="20"/>
          <w:lang w:val="en-US" w:eastAsia="zh-CN"/>
        </w:rPr>
        <w:t>及电池包无需进行底部撞击测试</w:t>
      </w:r>
      <w:r>
        <w:rPr>
          <w:rFonts w:hint="eastAsia"/>
          <w:sz w:val="20"/>
          <w:szCs w:val="20"/>
        </w:rPr>
        <w:t>。</w:t>
      </w:r>
    </w:p>
    <w:p>
      <w:pPr>
        <w:spacing w:line="360" w:lineRule="auto"/>
        <w:ind w:firstLine="400" w:firstLineChars="200"/>
        <w:jc w:val="both"/>
        <w:rPr>
          <w:rFonts w:hint="default" w:eastAsia="宋体"/>
          <w:sz w:val="20"/>
          <w:szCs w:val="20"/>
          <w:lang w:val="en-US" w:eastAsia="zh-CN"/>
        </w:rPr>
      </w:pPr>
      <w:r>
        <w:rPr>
          <w:rFonts w:hint="eastAsia"/>
          <w:sz w:val="20"/>
          <w:szCs w:val="20"/>
          <w:lang w:val="en-US" w:eastAsia="zh-CN"/>
        </w:rPr>
        <w:t>针对</w:t>
      </w:r>
      <w:r>
        <w:rPr>
          <w:rFonts w:hint="eastAsia"/>
          <w:sz w:val="20"/>
          <w:szCs w:val="20"/>
        </w:rPr>
        <w:t>离地间隙较大车型</w:t>
      </w:r>
      <w:r>
        <w:rPr>
          <w:rFonts w:hint="eastAsia"/>
          <w:sz w:val="20"/>
          <w:szCs w:val="20"/>
          <w:lang w:val="en-US" w:eastAsia="zh-CN"/>
        </w:rPr>
        <w:t>是否豁免底部撞击测试，现阶段尚无充足数据支撑，计划通过收集更大范围事故案例情况开展进一步研究。</w:t>
      </w:r>
    </w:p>
    <w:p>
      <w:pPr>
        <w:spacing w:line="360" w:lineRule="auto"/>
        <w:jc w:val="both"/>
      </w:pPr>
      <w:r>
        <w:rPr>
          <w:rFonts w:hint="eastAsia"/>
          <w:sz w:val="20"/>
          <w:szCs w:val="20"/>
          <w:lang w:val="en-US" w:eastAsia="zh-CN"/>
        </w:rPr>
        <w:t>5</w:t>
      </w:r>
      <w:r>
        <w:rPr>
          <w:rFonts w:hint="eastAsia"/>
        </w:rPr>
        <w:t>）判定条件</w:t>
      </w:r>
    </w:p>
    <w:p>
      <w:pPr>
        <w:spacing w:line="360" w:lineRule="auto"/>
        <w:ind w:firstLine="420"/>
        <w:jc w:val="both"/>
      </w:pPr>
      <w:r>
        <w:rPr>
          <w:rFonts w:hint="eastAsia"/>
          <w:lang w:val="en-US" w:eastAsia="zh-CN"/>
        </w:rPr>
        <w:t>基于现有数据，以上</w:t>
      </w:r>
      <w:r>
        <w:rPr>
          <w:rFonts w:hint="eastAsia"/>
        </w:rPr>
        <w:t>底部托底</w:t>
      </w:r>
      <w:r>
        <w:rPr>
          <w:rFonts w:hint="eastAsia"/>
          <w:lang w:val="en-US" w:eastAsia="zh-CN"/>
        </w:rPr>
        <w:t>测试</w:t>
      </w:r>
      <w:r>
        <w:rPr>
          <w:rFonts w:hint="eastAsia"/>
        </w:rPr>
        <w:t>工况</w:t>
      </w:r>
      <w:r>
        <w:rPr>
          <w:rFonts w:hint="eastAsia"/>
          <w:lang w:val="en-US" w:eastAsia="zh-CN"/>
        </w:rPr>
        <w:t>属于可靠性测试范畴</w:t>
      </w:r>
      <w:r>
        <w:rPr>
          <w:rFonts w:hint="eastAsia"/>
        </w:rPr>
        <w:t>，因此通过判定条件设定为应无泄漏、外壳破裂、起火或爆炸现象。试验后的绝缘电阻</w:t>
      </w:r>
      <w:r>
        <w:rPr>
          <w:rFonts w:hint="default" w:ascii="Times New Roman" w:hAnsi="Times New Roman" w:cs="Times New Roman"/>
        </w:rPr>
        <w:t>应不小于100 Ω/V。若有交流电路，绝缘电阻应不小于500Ω/V。</w:t>
      </w:r>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r>
        <w:rPr>
          <w:rFonts w:hint="eastAsia" w:ascii="黑体" w:hAnsi="黑体" w:eastAsia="黑体" w:cs="宋体"/>
          <w:bCs/>
          <w:color w:val="000000"/>
          <w:kern w:val="0"/>
          <w:sz w:val="24"/>
        </w:rPr>
        <w:t>与有关法律、行政法规和其他标准的关系</w:t>
      </w:r>
      <w:bookmarkEnd w:id="42"/>
    </w:p>
    <w:p>
      <w:pPr>
        <w:spacing w:line="360" w:lineRule="auto"/>
        <w:ind w:firstLine="420"/>
        <w:jc w:val="both"/>
      </w:pPr>
      <w:r>
        <w:t>本标准制定过程中，对照了现有的相关汽车标准，本标准与现行的相关法律、法规、规 章及标准保持协调一致。</w:t>
      </w:r>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49" w:name="_Toc64898478"/>
      <w:r>
        <w:rPr>
          <w:rFonts w:hint="eastAsia" w:ascii="黑体" w:hAnsi="黑体" w:eastAsia="黑体" w:cs="宋体"/>
          <w:bCs/>
          <w:color w:val="000000"/>
          <w:kern w:val="0"/>
          <w:sz w:val="24"/>
        </w:rPr>
        <w:t>与国际标准化组织、其他国家或者地区有关法律法规和标准的比对分析</w:t>
      </w:r>
      <w:bookmarkEnd w:id="49"/>
    </w:p>
    <w:p>
      <w:pPr>
        <w:spacing w:line="360" w:lineRule="auto"/>
        <w:ind w:firstLine="420"/>
        <w:jc w:val="both"/>
        <w:rPr>
          <w:rFonts w:ascii="宋体" w:hAnsi="宋体"/>
        </w:rPr>
      </w:pPr>
      <w:r>
        <w:rPr>
          <w:rFonts w:ascii="宋体" w:hAnsi="宋体"/>
        </w:rPr>
        <w:t>本标准在</w:t>
      </w:r>
      <w:r>
        <w:rPr>
          <w:rFonts w:hint="eastAsia" w:ascii="宋体" w:hAnsi="宋体"/>
        </w:rPr>
        <w:t>修订</w:t>
      </w:r>
      <w:r>
        <w:rPr>
          <w:rFonts w:ascii="宋体" w:hAnsi="宋体"/>
        </w:rPr>
        <w:t>过程中，</w:t>
      </w:r>
      <w:r>
        <w:rPr>
          <w:rFonts w:hint="eastAsia" w:ascii="宋体" w:hAnsi="宋体"/>
        </w:rPr>
        <w:t>与</w:t>
      </w:r>
      <w:r>
        <w:rPr>
          <w:color w:val="000000"/>
          <w:szCs w:val="20"/>
        </w:rPr>
        <w:t>ISO 6469-1:2019，ISO 6469-1 AMD:2022，IEC 62660-3:2022，EVS GTR，UN R100</w:t>
      </w:r>
      <w:r>
        <w:rPr>
          <w:rFonts w:ascii="宋体" w:hAnsi="宋体"/>
        </w:rPr>
        <w:t>等最新的电池及系统安全</w:t>
      </w:r>
      <w:r>
        <w:rPr>
          <w:rFonts w:hint="eastAsia" w:ascii="宋体" w:hAnsi="宋体"/>
        </w:rPr>
        <w:t>法规</w:t>
      </w:r>
      <w:r>
        <w:rPr>
          <w:rFonts w:ascii="宋体" w:hAnsi="宋体"/>
        </w:rPr>
        <w:t>和标准进行</w:t>
      </w:r>
      <w:r>
        <w:rPr>
          <w:rFonts w:hint="eastAsia" w:ascii="宋体" w:hAnsi="宋体"/>
        </w:rPr>
        <w:t>对比分析,</w:t>
      </w:r>
      <w:r>
        <w:rPr>
          <w:rFonts w:ascii="宋体" w:hAnsi="宋体"/>
        </w:rPr>
        <w:t xml:space="preserve"> </w:t>
      </w:r>
      <w:r>
        <w:rPr>
          <w:rFonts w:hint="eastAsia" w:ascii="宋体" w:hAnsi="宋体"/>
        </w:rPr>
        <w:t>相关标准适用特点如下：</w:t>
      </w:r>
    </w:p>
    <w:p>
      <w:pPr>
        <w:spacing w:line="360" w:lineRule="auto"/>
        <w:ind w:firstLine="400" w:firstLineChars="200"/>
        <w:jc w:val="center"/>
        <w:rPr>
          <w:sz w:val="20"/>
        </w:rPr>
      </w:pPr>
      <w:r>
        <w:rPr>
          <w:rFonts w:hint="eastAsia"/>
          <w:sz w:val="20"/>
        </w:rPr>
        <w:t>表</w:t>
      </w:r>
      <w:r>
        <w:rPr>
          <w:sz w:val="20"/>
        </w:rPr>
        <w:t>6</w:t>
      </w:r>
      <w:r>
        <w:rPr>
          <w:rFonts w:hint="eastAsia"/>
          <w:sz w:val="20"/>
        </w:rPr>
        <w:t>：标准适用特点</w:t>
      </w:r>
    </w:p>
    <w:tbl>
      <w:tblPr>
        <w:tblStyle w:val="10"/>
        <w:tblW w:w="83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339"/>
        <w:gridCol w:w="3569"/>
        <w:gridCol w:w="1528"/>
        <w:gridCol w:w="1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79" w:type="dxa"/>
            <w:vAlign w:val="center"/>
          </w:tcPr>
          <w:p>
            <w:pPr>
              <w:spacing w:line="276" w:lineRule="auto"/>
              <w:jc w:val="center"/>
              <w:rPr>
                <w:rFonts w:ascii="宋体" w:hAnsi="宋体"/>
                <w:sz w:val="20"/>
                <w:szCs w:val="20"/>
              </w:rPr>
            </w:pPr>
            <w:r>
              <w:rPr>
                <w:rFonts w:hint="eastAsia" w:ascii="宋体" w:hAnsi="宋体"/>
                <w:sz w:val="20"/>
                <w:szCs w:val="20"/>
              </w:rPr>
              <w:t>序号</w:t>
            </w:r>
          </w:p>
        </w:tc>
        <w:tc>
          <w:tcPr>
            <w:tcW w:w="1249" w:type="dxa"/>
            <w:vAlign w:val="center"/>
          </w:tcPr>
          <w:p>
            <w:pPr>
              <w:spacing w:line="276" w:lineRule="auto"/>
              <w:jc w:val="center"/>
              <w:rPr>
                <w:rFonts w:ascii="宋体" w:hAnsi="宋体"/>
                <w:sz w:val="20"/>
                <w:szCs w:val="20"/>
              </w:rPr>
            </w:pPr>
            <w:r>
              <w:rPr>
                <w:rFonts w:hint="eastAsia" w:ascii="宋体" w:hAnsi="宋体"/>
                <w:sz w:val="20"/>
                <w:szCs w:val="20"/>
              </w:rPr>
              <w:t>标准号</w:t>
            </w:r>
          </w:p>
        </w:tc>
        <w:tc>
          <w:tcPr>
            <w:tcW w:w="3615" w:type="dxa"/>
            <w:vAlign w:val="center"/>
          </w:tcPr>
          <w:p>
            <w:pPr>
              <w:spacing w:line="276" w:lineRule="auto"/>
              <w:jc w:val="center"/>
              <w:rPr>
                <w:rFonts w:ascii="宋体" w:hAnsi="宋体" w:cstheme="minorBidi"/>
                <w:color w:val="000000"/>
                <w:sz w:val="20"/>
                <w:szCs w:val="20"/>
              </w:rPr>
            </w:pPr>
            <w:r>
              <w:rPr>
                <w:rFonts w:hint="eastAsia" w:ascii="宋体" w:hAnsi="宋体" w:cstheme="minorBidi"/>
                <w:color w:val="000000"/>
                <w:sz w:val="20"/>
                <w:szCs w:val="20"/>
              </w:rPr>
              <w:t>名称</w:t>
            </w:r>
          </w:p>
        </w:tc>
        <w:tc>
          <w:tcPr>
            <w:tcW w:w="1548" w:type="dxa"/>
            <w:vAlign w:val="center"/>
          </w:tcPr>
          <w:p>
            <w:pPr>
              <w:spacing w:line="276" w:lineRule="auto"/>
              <w:jc w:val="center"/>
              <w:rPr>
                <w:rFonts w:ascii="宋体" w:hAnsi="宋体" w:cstheme="minorBidi"/>
                <w:color w:val="000000"/>
                <w:sz w:val="20"/>
                <w:szCs w:val="20"/>
              </w:rPr>
            </w:pPr>
            <w:r>
              <w:rPr>
                <w:rFonts w:hint="eastAsia" w:ascii="宋体" w:hAnsi="宋体" w:cstheme="minorBidi"/>
                <w:color w:val="000000"/>
                <w:sz w:val="20"/>
                <w:szCs w:val="20"/>
              </w:rPr>
              <w:t>适用对象</w:t>
            </w:r>
          </w:p>
        </w:tc>
        <w:tc>
          <w:tcPr>
            <w:tcW w:w="1228" w:type="dxa"/>
            <w:vAlign w:val="center"/>
          </w:tcPr>
          <w:p>
            <w:pPr>
              <w:spacing w:line="276" w:lineRule="auto"/>
              <w:jc w:val="center"/>
              <w:rPr>
                <w:rFonts w:ascii="宋体" w:hAnsi="宋体" w:cstheme="minorBidi"/>
                <w:color w:val="000000"/>
                <w:sz w:val="20"/>
                <w:szCs w:val="20"/>
              </w:rPr>
            </w:pPr>
            <w:r>
              <w:rPr>
                <w:rFonts w:hint="eastAsia" w:ascii="宋体" w:hAnsi="宋体" w:cstheme="minorBidi"/>
                <w:color w:val="000000"/>
                <w:sz w:val="20"/>
                <w:szCs w:val="20"/>
              </w:rPr>
              <w:t>技术特点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9" w:type="dxa"/>
            <w:vAlign w:val="center"/>
          </w:tcPr>
          <w:p>
            <w:pPr>
              <w:spacing w:line="276" w:lineRule="auto"/>
              <w:jc w:val="center"/>
              <w:rPr>
                <w:rFonts w:ascii="宋体" w:hAnsi="宋体"/>
                <w:sz w:val="20"/>
                <w:szCs w:val="20"/>
              </w:rPr>
            </w:pPr>
            <w:r>
              <w:rPr>
                <w:rFonts w:hint="eastAsia" w:ascii="宋体" w:hAnsi="宋体"/>
                <w:sz w:val="20"/>
                <w:szCs w:val="20"/>
              </w:rPr>
              <w:t>1</w:t>
            </w:r>
          </w:p>
        </w:tc>
        <w:tc>
          <w:tcPr>
            <w:tcW w:w="1249" w:type="dxa"/>
            <w:vAlign w:val="center"/>
          </w:tcPr>
          <w:p>
            <w:pPr>
              <w:spacing w:line="276" w:lineRule="auto"/>
              <w:jc w:val="center"/>
              <w:rPr>
                <w:sz w:val="20"/>
                <w:szCs w:val="20"/>
              </w:rPr>
            </w:pPr>
            <w:r>
              <w:rPr>
                <w:color w:val="000000"/>
                <w:sz w:val="20"/>
                <w:szCs w:val="20"/>
              </w:rPr>
              <w:t>GB 38031</w:t>
            </w:r>
            <w:r>
              <w:rPr>
                <w:rFonts w:hint="eastAsia"/>
                <w:color w:val="000000"/>
                <w:sz w:val="20"/>
                <w:szCs w:val="20"/>
                <w:lang w:eastAsia="zh-CN"/>
              </w:rPr>
              <w:t>—</w:t>
            </w:r>
            <w:r>
              <w:rPr>
                <w:color w:val="000000"/>
                <w:sz w:val="20"/>
                <w:szCs w:val="20"/>
              </w:rPr>
              <w:t>2020</w:t>
            </w:r>
          </w:p>
        </w:tc>
        <w:tc>
          <w:tcPr>
            <w:tcW w:w="3615" w:type="dxa"/>
            <w:vAlign w:val="center"/>
          </w:tcPr>
          <w:p>
            <w:pPr>
              <w:spacing w:line="276" w:lineRule="auto"/>
              <w:jc w:val="center"/>
              <w:rPr>
                <w:rFonts w:ascii="宋体" w:hAnsi="宋体"/>
                <w:sz w:val="20"/>
                <w:szCs w:val="20"/>
              </w:rPr>
            </w:pPr>
            <w:r>
              <w:rPr>
                <w:rFonts w:ascii="宋体" w:hAnsi="宋体" w:cstheme="minorBidi"/>
                <w:color w:val="000000"/>
                <w:sz w:val="20"/>
                <w:szCs w:val="20"/>
              </w:rPr>
              <w:t>电动汽车用动力蓄电池安全要求</w:t>
            </w:r>
          </w:p>
        </w:tc>
        <w:tc>
          <w:tcPr>
            <w:tcW w:w="1548" w:type="dxa"/>
            <w:vAlign w:val="center"/>
          </w:tcPr>
          <w:p>
            <w:pPr>
              <w:spacing w:line="276" w:lineRule="auto"/>
              <w:jc w:val="center"/>
              <w:rPr>
                <w:rFonts w:ascii="宋体" w:hAnsi="宋体"/>
                <w:sz w:val="20"/>
                <w:szCs w:val="20"/>
              </w:rPr>
            </w:pPr>
            <w:r>
              <w:rPr>
                <w:rFonts w:ascii="宋体" w:hAnsi="宋体" w:cstheme="minorBidi"/>
                <w:color w:val="000000"/>
                <w:sz w:val="20"/>
                <w:szCs w:val="20"/>
              </w:rPr>
              <w:t>动力蓄电池单体、电池包或系统</w:t>
            </w:r>
          </w:p>
        </w:tc>
        <w:tc>
          <w:tcPr>
            <w:tcW w:w="1228" w:type="dxa"/>
            <w:vAlign w:val="center"/>
          </w:tcPr>
          <w:p>
            <w:pPr>
              <w:spacing w:line="276" w:lineRule="auto"/>
              <w:jc w:val="center"/>
              <w:rPr>
                <w:rFonts w:ascii="宋体" w:hAnsi="宋体"/>
                <w:sz w:val="20"/>
                <w:szCs w:val="20"/>
              </w:rPr>
            </w:pPr>
            <w:r>
              <w:rPr>
                <w:rFonts w:ascii="宋体" w:hAnsi="宋体" w:cstheme="minorBidi"/>
                <w:color w:val="000000"/>
                <w:sz w:val="20"/>
                <w:szCs w:val="20"/>
              </w:rPr>
              <w:t>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9" w:type="dxa"/>
            <w:vAlign w:val="center"/>
          </w:tcPr>
          <w:p>
            <w:pPr>
              <w:spacing w:line="276" w:lineRule="auto"/>
              <w:jc w:val="center"/>
              <w:rPr>
                <w:rFonts w:ascii="宋体" w:hAnsi="宋体"/>
                <w:sz w:val="20"/>
                <w:szCs w:val="20"/>
              </w:rPr>
            </w:pPr>
            <w:r>
              <w:rPr>
                <w:rFonts w:ascii="宋体" w:hAnsi="宋体"/>
                <w:sz w:val="20"/>
                <w:szCs w:val="20"/>
              </w:rPr>
              <w:t>2</w:t>
            </w:r>
          </w:p>
        </w:tc>
        <w:tc>
          <w:tcPr>
            <w:tcW w:w="1249" w:type="dxa"/>
            <w:vAlign w:val="center"/>
          </w:tcPr>
          <w:p>
            <w:pPr>
              <w:spacing w:line="276" w:lineRule="auto"/>
              <w:jc w:val="center"/>
              <w:rPr>
                <w:sz w:val="20"/>
                <w:szCs w:val="20"/>
              </w:rPr>
            </w:pPr>
            <w:r>
              <w:rPr>
                <w:sz w:val="20"/>
                <w:szCs w:val="20"/>
              </w:rPr>
              <w:t>IEC 62660-3:2022</w:t>
            </w:r>
          </w:p>
        </w:tc>
        <w:tc>
          <w:tcPr>
            <w:tcW w:w="3615" w:type="dxa"/>
            <w:vAlign w:val="center"/>
          </w:tcPr>
          <w:p>
            <w:pPr>
              <w:spacing w:line="276" w:lineRule="auto"/>
              <w:jc w:val="center"/>
              <w:rPr>
                <w:sz w:val="20"/>
                <w:szCs w:val="20"/>
              </w:rPr>
            </w:pPr>
            <w:r>
              <w:rPr>
                <w:sz w:val="20"/>
                <w:szCs w:val="20"/>
              </w:rPr>
              <w:t>Secondary lithium-ion cells for the propulsion of electric road vehicles – Part 3: Safety requirements</w:t>
            </w:r>
          </w:p>
        </w:tc>
        <w:tc>
          <w:tcPr>
            <w:tcW w:w="1548" w:type="dxa"/>
            <w:vAlign w:val="center"/>
          </w:tcPr>
          <w:p>
            <w:pPr>
              <w:spacing w:line="276" w:lineRule="auto"/>
              <w:jc w:val="center"/>
              <w:rPr>
                <w:rFonts w:ascii="宋体" w:hAnsi="宋体"/>
                <w:sz w:val="20"/>
                <w:szCs w:val="20"/>
              </w:rPr>
            </w:pPr>
            <w:r>
              <w:rPr>
                <w:rFonts w:ascii="宋体" w:hAnsi="宋体" w:cstheme="minorBidi"/>
                <w:sz w:val="20"/>
                <w:szCs w:val="20"/>
              </w:rPr>
              <w:t>单体和模块</w:t>
            </w:r>
          </w:p>
        </w:tc>
        <w:tc>
          <w:tcPr>
            <w:tcW w:w="1228" w:type="dxa"/>
            <w:vAlign w:val="center"/>
          </w:tcPr>
          <w:p>
            <w:pPr>
              <w:spacing w:line="276" w:lineRule="auto"/>
              <w:jc w:val="center"/>
              <w:rPr>
                <w:rFonts w:ascii="宋体" w:hAnsi="宋体"/>
                <w:sz w:val="20"/>
                <w:szCs w:val="20"/>
              </w:rPr>
            </w:pPr>
            <w:r>
              <w:rPr>
                <w:rFonts w:ascii="宋体" w:hAnsi="宋体" w:cstheme="minorBidi"/>
                <w:sz w:val="20"/>
                <w:szCs w:val="20"/>
              </w:rPr>
              <w:t>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9" w:type="dxa"/>
            <w:vAlign w:val="center"/>
          </w:tcPr>
          <w:p>
            <w:pPr>
              <w:spacing w:line="276" w:lineRule="auto"/>
              <w:jc w:val="center"/>
              <w:rPr>
                <w:rFonts w:ascii="宋体" w:hAnsi="宋体"/>
                <w:sz w:val="20"/>
                <w:szCs w:val="20"/>
              </w:rPr>
            </w:pPr>
            <w:r>
              <w:rPr>
                <w:rFonts w:ascii="宋体" w:hAnsi="宋体"/>
                <w:sz w:val="20"/>
                <w:szCs w:val="20"/>
              </w:rPr>
              <w:t>3</w:t>
            </w:r>
          </w:p>
        </w:tc>
        <w:tc>
          <w:tcPr>
            <w:tcW w:w="1249" w:type="dxa"/>
            <w:vAlign w:val="center"/>
          </w:tcPr>
          <w:p>
            <w:pPr>
              <w:spacing w:line="276" w:lineRule="auto"/>
              <w:jc w:val="center"/>
              <w:rPr>
                <w:sz w:val="20"/>
                <w:szCs w:val="20"/>
              </w:rPr>
            </w:pPr>
            <w:r>
              <w:rPr>
                <w:sz w:val="20"/>
                <w:szCs w:val="20"/>
              </w:rPr>
              <w:t>ISO 6469-1:2019</w:t>
            </w:r>
          </w:p>
        </w:tc>
        <w:tc>
          <w:tcPr>
            <w:tcW w:w="3615" w:type="dxa"/>
            <w:vAlign w:val="center"/>
          </w:tcPr>
          <w:p>
            <w:pPr>
              <w:spacing w:line="276" w:lineRule="auto"/>
              <w:jc w:val="center"/>
              <w:rPr>
                <w:sz w:val="20"/>
                <w:szCs w:val="20"/>
              </w:rPr>
            </w:pPr>
            <w:r>
              <w:rPr>
                <w:sz w:val="20"/>
                <w:szCs w:val="20"/>
              </w:rPr>
              <w:t>Electrically propelled road vehicles</w:t>
            </w:r>
            <w:r>
              <w:rPr>
                <w:color w:val="000000"/>
                <w:sz w:val="20"/>
                <w:szCs w:val="20"/>
              </w:rPr>
              <w:t xml:space="preserve"> – </w:t>
            </w:r>
            <w:r>
              <w:rPr>
                <w:sz w:val="20"/>
                <w:szCs w:val="20"/>
              </w:rPr>
              <w:t xml:space="preserve"> Safety specifications</w:t>
            </w:r>
            <w:r>
              <w:rPr>
                <w:color w:val="000000"/>
                <w:sz w:val="20"/>
                <w:szCs w:val="20"/>
              </w:rPr>
              <w:t xml:space="preserve"> – </w:t>
            </w:r>
            <w:r>
              <w:rPr>
                <w:sz w:val="20"/>
                <w:szCs w:val="20"/>
              </w:rPr>
              <w:t>Part 1:Rechargeable energy storage system (RESS)</w:t>
            </w:r>
          </w:p>
        </w:tc>
        <w:tc>
          <w:tcPr>
            <w:tcW w:w="1548" w:type="dxa"/>
            <w:vAlign w:val="center"/>
          </w:tcPr>
          <w:p>
            <w:pPr>
              <w:spacing w:line="276" w:lineRule="auto"/>
              <w:jc w:val="center"/>
              <w:rPr>
                <w:rFonts w:ascii="宋体" w:hAnsi="宋体"/>
                <w:sz w:val="20"/>
                <w:szCs w:val="20"/>
              </w:rPr>
            </w:pPr>
            <w:r>
              <w:rPr>
                <w:rFonts w:ascii="宋体" w:hAnsi="宋体" w:cstheme="minorBidi"/>
                <w:sz w:val="20"/>
                <w:szCs w:val="20"/>
              </w:rPr>
              <w:t>可充电储能系统</w:t>
            </w:r>
          </w:p>
        </w:tc>
        <w:tc>
          <w:tcPr>
            <w:tcW w:w="1228" w:type="dxa"/>
            <w:vAlign w:val="center"/>
          </w:tcPr>
          <w:p>
            <w:pPr>
              <w:spacing w:line="276" w:lineRule="auto"/>
              <w:jc w:val="center"/>
              <w:rPr>
                <w:rFonts w:ascii="宋体" w:hAnsi="宋体"/>
                <w:sz w:val="20"/>
                <w:szCs w:val="20"/>
              </w:rPr>
            </w:pPr>
            <w:r>
              <w:rPr>
                <w:rFonts w:ascii="宋体" w:hAnsi="宋体" w:cstheme="minorBidi"/>
                <w:sz w:val="20"/>
                <w:szCs w:val="20"/>
              </w:rPr>
              <w:t>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9" w:type="dxa"/>
            <w:vAlign w:val="center"/>
          </w:tcPr>
          <w:p>
            <w:pPr>
              <w:spacing w:line="276" w:lineRule="auto"/>
              <w:jc w:val="center"/>
              <w:rPr>
                <w:rFonts w:ascii="宋体" w:hAnsi="宋体"/>
                <w:sz w:val="20"/>
                <w:szCs w:val="20"/>
              </w:rPr>
            </w:pPr>
            <w:r>
              <w:rPr>
                <w:rFonts w:ascii="宋体" w:hAnsi="宋体"/>
                <w:sz w:val="20"/>
                <w:szCs w:val="20"/>
              </w:rPr>
              <w:t>4</w:t>
            </w:r>
          </w:p>
        </w:tc>
        <w:tc>
          <w:tcPr>
            <w:tcW w:w="1249" w:type="dxa"/>
            <w:vAlign w:val="center"/>
          </w:tcPr>
          <w:p>
            <w:pPr>
              <w:spacing w:line="276" w:lineRule="auto"/>
              <w:jc w:val="center"/>
              <w:rPr>
                <w:sz w:val="20"/>
                <w:szCs w:val="20"/>
              </w:rPr>
            </w:pPr>
            <w:r>
              <w:rPr>
                <w:sz w:val="20"/>
                <w:szCs w:val="20"/>
              </w:rPr>
              <w:t>ISO 6469-1 AMD:2022</w:t>
            </w:r>
          </w:p>
        </w:tc>
        <w:tc>
          <w:tcPr>
            <w:tcW w:w="3615" w:type="dxa"/>
            <w:vAlign w:val="center"/>
          </w:tcPr>
          <w:p>
            <w:pPr>
              <w:spacing w:line="276" w:lineRule="auto"/>
              <w:jc w:val="center"/>
              <w:rPr>
                <w:sz w:val="20"/>
                <w:szCs w:val="20"/>
              </w:rPr>
            </w:pPr>
            <w:r>
              <w:rPr>
                <w:sz w:val="20"/>
                <w:szCs w:val="20"/>
              </w:rPr>
              <w:t>Electrically propelled road vehicles</w:t>
            </w:r>
            <w:r>
              <w:rPr>
                <w:color w:val="000000"/>
                <w:sz w:val="20"/>
                <w:szCs w:val="20"/>
              </w:rPr>
              <w:t xml:space="preserve"> –</w:t>
            </w:r>
          </w:p>
          <w:p>
            <w:pPr>
              <w:spacing w:line="276" w:lineRule="auto"/>
              <w:jc w:val="center"/>
              <w:rPr>
                <w:sz w:val="20"/>
                <w:szCs w:val="20"/>
              </w:rPr>
            </w:pPr>
            <w:r>
              <w:rPr>
                <w:sz w:val="20"/>
                <w:szCs w:val="20"/>
              </w:rPr>
              <w:t>Safety specifications</w:t>
            </w:r>
            <w:r>
              <w:rPr>
                <w:color w:val="000000"/>
                <w:sz w:val="20"/>
                <w:szCs w:val="20"/>
              </w:rPr>
              <w:t xml:space="preserve"> – </w:t>
            </w:r>
            <w:r>
              <w:rPr>
                <w:sz w:val="20"/>
                <w:szCs w:val="20"/>
              </w:rPr>
              <w:t>Part 1:Rechargeable energy storage system(RESS)</w:t>
            </w:r>
          </w:p>
          <w:p>
            <w:pPr>
              <w:spacing w:line="276" w:lineRule="auto"/>
              <w:jc w:val="center"/>
              <w:rPr>
                <w:sz w:val="20"/>
                <w:szCs w:val="20"/>
              </w:rPr>
            </w:pPr>
            <w:r>
              <w:rPr>
                <w:sz w:val="20"/>
                <w:szCs w:val="20"/>
              </w:rPr>
              <w:t>AMENDMENT 1: Safety management of</w:t>
            </w:r>
          </w:p>
          <w:p>
            <w:pPr>
              <w:spacing w:line="276" w:lineRule="auto"/>
              <w:jc w:val="center"/>
              <w:rPr>
                <w:sz w:val="20"/>
                <w:szCs w:val="20"/>
              </w:rPr>
            </w:pPr>
            <w:r>
              <w:rPr>
                <w:sz w:val="20"/>
                <w:szCs w:val="20"/>
              </w:rPr>
              <w:t>thermal propagation</w:t>
            </w:r>
          </w:p>
        </w:tc>
        <w:tc>
          <w:tcPr>
            <w:tcW w:w="1548" w:type="dxa"/>
            <w:vAlign w:val="center"/>
          </w:tcPr>
          <w:p>
            <w:pPr>
              <w:spacing w:line="276" w:lineRule="auto"/>
              <w:jc w:val="center"/>
              <w:rPr>
                <w:rFonts w:ascii="宋体" w:hAnsi="宋体"/>
                <w:sz w:val="20"/>
                <w:szCs w:val="20"/>
              </w:rPr>
            </w:pPr>
            <w:r>
              <w:rPr>
                <w:rFonts w:ascii="宋体" w:hAnsi="宋体" w:cstheme="minorBidi"/>
                <w:sz w:val="20"/>
                <w:szCs w:val="20"/>
              </w:rPr>
              <w:t>可充电储能系统</w:t>
            </w:r>
          </w:p>
        </w:tc>
        <w:tc>
          <w:tcPr>
            <w:tcW w:w="1228" w:type="dxa"/>
            <w:vAlign w:val="center"/>
          </w:tcPr>
          <w:p>
            <w:pPr>
              <w:spacing w:line="276" w:lineRule="auto"/>
              <w:jc w:val="center"/>
              <w:rPr>
                <w:rFonts w:ascii="宋体" w:hAnsi="宋体"/>
                <w:sz w:val="20"/>
                <w:szCs w:val="20"/>
              </w:rPr>
            </w:pPr>
            <w:r>
              <w:rPr>
                <w:rFonts w:ascii="宋体" w:hAnsi="宋体" w:cstheme="minorBidi"/>
                <w:sz w:val="20"/>
                <w:szCs w:val="20"/>
              </w:rPr>
              <w:t>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9" w:type="dxa"/>
            <w:vAlign w:val="center"/>
          </w:tcPr>
          <w:p>
            <w:pPr>
              <w:spacing w:line="276" w:lineRule="auto"/>
              <w:jc w:val="center"/>
              <w:rPr>
                <w:rFonts w:ascii="宋体" w:hAnsi="宋体"/>
                <w:sz w:val="20"/>
                <w:szCs w:val="20"/>
              </w:rPr>
            </w:pPr>
            <w:r>
              <w:rPr>
                <w:rFonts w:ascii="宋体" w:hAnsi="宋体"/>
                <w:sz w:val="20"/>
                <w:szCs w:val="20"/>
              </w:rPr>
              <w:t>5</w:t>
            </w:r>
          </w:p>
        </w:tc>
        <w:tc>
          <w:tcPr>
            <w:tcW w:w="1249" w:type="dxa"/>
            <w:vAlign w:val="center"/>
          </w:tcPr>
          <w:p>
            <w:pPr>
              <w:spacing w:line="276" w:lineRule="auto"/>
              <w:jc w:val="center"/>
              <w:rPr>
                <w:sz w:val="20"/>
                <w:szCs w:val="20"/>
              </w:rPr>
            </w:pPr>
            <w:r>
              <w:rPr>
                <w:sz w:val="20"/>
                <w:szCs w:val="20"/>
              </w:rPr>
              <w:t>EVS GTR</w:t>
            </w:r>
          </w:p>
        </w:tc>
        <w:tc>
          <w:tcPr>
            <w:tcW w:w="3615" w:type="dxa"/>
            <w:vAlign w:val="center"/>
          </w:tcPr>
          <w:p>
            <w:pPr>
              <w:spacing w:line="276" w:lineRule="auto"/>
              <w:jc w:val="center"/>
              <w:rPr>
                <w:sz w:val="20"/>
                <w:szCs w:val="20"/>
              </w:rPr>
            </w:pPr>
            <w:r>
              <w:rPr>
                <w:sz w:val="20"/>
                <w:szCs w:val="20"/>
              </w:rPr>
              <w:t>Global Technical Regulation No. 20</w:t>
            </w:r>
          </w:p>
        </w:tc>
        <w:tc>
          <w:tcPr>
            <w:tcW w:w="1548" w:type="dxa"/>
            <w:vAlign w:val="center"/>
          </w:tcPr>
          <w:p>
            <w:pPr>
              <w:spacing w:line="276" w:lineRule="auto"/>
              <w:jc w:val="center"/>
              <w:rPr>
                <w:rFonts w:ascii="宋体" w:hAnsi="宋体"/>
                <w:sz w:val="20"/>
                <w:szCs w:val="20"/>
              </w:rPr>
            </w:pPr>
            <w:r>
              <w:rPr>
                <w:rFonts w:hint="eastAsia" w:ascii="宋体" w:hAnsi="宋体" w:cstheme="minorBidi"/>
                <w:sz w:val="20"/>
                <w:szCs w:val="20"/>
              </w:rPr>
              <w:t>整车、</w:t>
            </w:r>
            <w:r>
              <w:rPr>
                <w:rFonts w:ascii="宋体" w:hAnsi="宋体" w:cstheme="minorBidi"/>
                <w:sz w:val="20"/>
                <w:szCs w:val="20"/>
              </w:rPr>
              <w:t>可充电储</w:t>
            </w:r>
            <w:r>
              <w:rPr>
                <w:rFonts w:hint="eastAsia" w:ascii="宋体" w:hAnsi="宋体" w:cstheme="minorBidi"/>
                <w:sz w:val="20"/>
                <w:szCs w:val="20"/>
              </w:rPr>
              <w:t>能</w:t>
            </w:r>
            <w:r>
              <w:rPr>
                <w:rFonts w:ascii="宋体" w:hAnsi="宋体" w:cstheme="minorBidi"/>
                <w:sz w:val="20"/>
                <w:szCs w:val="20"/>
              </w:rPr>
              <w:t>系统</w:t>
            </w:r>
          </w:p>
        </w:tc>
        <w:tc>
          <w:tcPr>
            <w:tcW w:w="1228" w:type="dxa"/>
            <w:vAlign w:val="center"/>
          </w:tcPr>
          <w:p>
            <w:pPr>
              <w:spacing w:line="276" w:lineRule="auto"/>
              <w:jc w:val="center"/>
              <w:rPr>
                <w:rFonts w:ascii="宋体" w:hAnsi="宋体"/>
                <w:sz w:val="20"/>
                <w:szCs w:val="20"/>
              </w:rPr>
            </w:pPr>
            <w:r>
              <w:rPr>
                <w:rFonts w:ascii="宋体" w:hAnsi="宋体" w:cstheme="minorBidi"/>
                <w:sz w:val="20"/>
                <w:szCs w:val="20"/>
              </w:rPr>
              <w:t>电动汽车安全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9" w:type="dxa"/>
            <w:vAlign w:val="center"/>
          </w:tcPr>
          <w:p>
            <w:pPr>
              <w:spacing w:line="276" w:lineRule="auto"/>
              <w:jc w:val="center"/>
              <w:rPr>
                <w:rFonts w:ascii="宋体" w:hAnsi="宋体"/>
                <w:sz w:val="20"/>
                <w:szCs w:val="20"/>
              </w:rPr>
            </w:pPr>
            <w:r>
              <w:rPr>
                <w:rFonts w:ascii="宋体" w:hAnsi="宋体"/>
                <w:sz w:val="20"/>
                <w:szCs w:val="20"/>
              </w:rPr>
              <w:t>6</w:t>
            </w:r>
          </w:p>
        </w:tc>
        <w:tc>
          <w:tcPr>
            <w:tcW w:w="1249" w:type="dxa"/>
            <w:vAlign w:val="center"/>
          </w:tcPr>
          <w:p>
            <w:pPr>
              <w:spacing w:line="276" w:lineRule="auto"/>
              <w:jc w:val="center"/>
              <w:rPr>
                <w:sz w:val="20"/>
                <w:szCs w:val="20"/>
              </w:rPr>
            </w:pPr>
            <w:r>
              <w:rPr>
                <w:sz w:val="20"/>
                <w:szCs w:val="20"/>
              </w:rPr>
              <w:t>UN R100</w:t>
            </w:r>
          </w:p>
        </w:tc>
        <w:tc>
          <w:tcPr>
            <w:tcW w:w="3615" w:type="dxa"/>
            <w:vAlign w:val="center"/>
          </w:tcPr>
          <w:p>
            <w:pPr>
              <w:spacing w:line="276" w:lineRule="auto"/>
              <w:jc w:val="center"/>
              <w:rPr>
                <w:sz w:val="20"/>
                <w:szCs w:val="20"/>
              </w:rPr>
            </w:pPr>
            <w:r>
              <w:rPr>
                <w:sz w:val="20"/>
                <w:szCs w:val="20"/>
              </w:rPr>
              <w:t>Regulation No. 100</w:t>
            </w:r>
          </w:p>
          <w:p>
            <w:pPr>
              <w:spacing w:line="276" w:lineRule="auto"/>
              <w:jc w:val="center"/>
              <w:rPr>
                <w:sz w:val="20"/>
                <w:szCs w:val="20"/>
              </w:rPr>
            </w:pPr>
            <w:r>
              <w:rPr>
                <w:sz w:val="20"/>
                <w:szCs w:val="20"/>
              </w:rPr>
              <w:t>Uniform provisions concerning the approval of vehicles with regard to specific requirements for the electric power train</w:t>
            </w:r>
          </w:p>
        </w:tc>
        <w:tc>
          <w:tcPr>
            <w:tcW w:w="1548" w:type="dxa"/>
            <w:vAlign w:val="center"/>
          </w:tcPr>
          <w:p>
            <w:pPr>
              <w:spacing w:line="276" w:lineRule="auto"/>
              <w:jc w:val="center"/>
              <w:rPr>
                <w:rFonts w:ascii="宋体" w:hAnsi="宋体"/>
                <w:sz w:val="20"/>
                <w:szCs w:val="20"/>
              </w:rPr>
            </w:pPr>
            <w:r>
              <w:rPr>
                <w:rFonts w:hint="eastAsia" w:ascii="宋体" w:hAnsi="宋体"/>
                <w:sz w:val="20"/>
                <w:szCs w:val="20"/>
              </w:rPr>
              <w:t>整车、可充电储能系统</w:t>
            </w:r>
          </w:p>
        </w:tc>
        <w:tc>
          <w:tcPr>
            <w:tcW w:w="1228" w:type="dxa"/>
            <w:vAlign w:val="center"/>
          </w:tcPr>
          <w:p>
            <w:pPr>
              <w:spacing w:line="276" w:lineRule="auto"/>
              <w:jc w:val="center"/>
              <w:rPr>
                <w:rFonts w:ascii="宋体" w:hAnsi="宋体"/>
                <w:sz w:val="20"/>
                <w:szCs w:val="20"/>
              </w:rPr>
            </w:pPr>
            <w:r>
              <w:rPr>
                <w:rFonts w:ascii="宋体" w:hAnsi="宋体" w:cstheme="minorBidi"/>
                <w:sz w:val="20"/>
                <w:szCs w:val="20"/>
              </w:rPr>
              <w:t>电动汽车安全</w:t>
            </w:r>
          </w:p>
        </w:tc>
      </w:tr>
    </w:tbl>
    <w:p>
      <w:pPr>
        <w:pStyle w:val="19"/>
        <w:numPr>
          <w:ilvl w:val="0"/>
          <w:numId w:val="7"/>
        </w:numPr>
        <w:spacing w:line="360" w:lineRule="auto"/>
        <w:jc w:val="both"/>
        <w:rPr>
          <w:rFonts w:ascii="宋体" w:hAnsi="宋体"/>
        </w:rPr>
      </w:pPr>
      <w:r>
        <w:rPr>
          <w:rFonts w:hint="eastAsia" w:ascii="宋体" w:hAnsi="宋体"/>
        </w:rPr>
        <w:t>术语定义</w:t>
      </w:r>
    </w:p>
    <w:p>
      <w:pPr>
        <w:spacing w:line="360" w:lineRule="auto"/>
        <w:ind w:firstLine="420"/>
        <w:jc w:val="both"/>
        <w:rPr>
          <w:rFonts w:ascii="宋体" w:hAnsi="宋体"/>
        </w:rPr>
      </w:pPr>
      <w:r>
        <w:rPr>
          <w:rFonts w:hint="eastAsia" w:ascii="宋体" w:hAnsi="宋体"/>
        </w:rPr>
        <w:t>动力电池单体、模块、电池包及系统等基础术语定义以及热失控、</w:t>
      </w:r>
      <w:r>
        <w:rPr>
          <w:rFonts w:ascii="宋体" w:hAnsi="宋体"/>
        </w:rPr>
        <w:t>热扩散等现象类术语对比情况见表7</w:t>
      </w:r>
      <w:r>
        <w:rPr>
          <w:rFonts w:hint="eastAsia" w:ascii="宋体" w:hAnsi="宋体"/>
        </w:rPr>
        <w:t>：</w:t>
      </w:r>
    </w:p>
    <w:p>
      <w:pPr>
        <w:spacing w:line="360" w:lineRule="auto"/>
        <w:ind w:firstLine="400" w:firstLineChars="200"/>
        <w:jc w:val="center"/>
        <w:rPr>
          <w:sz w:val="20"/>
        </w:rPr>
      </w:pPr>
      <w:r>
        <w:rPr>
          <w:rFonts w:hint="eastAsia"/>
          <w:sz w:val="20"/>
        </w:rPr>
        <w:t>表</w:t>
      </w:r>
      <w:r>
        <w:rPr>
          <w:sz w:val="20"/>
        </w:rPr>
        <w:t>7</w:t>
      </w:r>
      <w:r>
        <w:rPr>
          <w:rFonts w:hint="eastAsia"/>
          <w:sz w:val="20"/>
        </w:rPr>
        <w:t>：术语定义对比</w:t>
      </w:r>
    </w:p>
    <w:tbl>
      <w:tblPr>
        <w:tblStyle w:val="10"/>
        <w:tblW w:w="82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352"/>
        <w:gridCol w:w="1685"/>
        <w:gridCol w:w="1504"/>
        <w:gridCol w:w="1603"/>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495" w:type="dxa"/>
            <w:vAlign w:val="center"/>
          </w:tcPr>
          <w:p>
            <w:pPr>
              <w:spacing w:line="276" w:lineRule="auto"/>
              <w:jc w:val="center"/>
              <w:rPr>
                <w:rFonts w:ascii="宋体" w:hAnsi="宋体"/>
                <w:sz w:val="20"/>
                <w:szCs w:val="20"/>
              </w:rPr>
            </w:pPr>
            <w:r>
              <w:rPr>
                <w:rFonts w:hint="eastAsia" w:ascii="宋体" w:hAnsi="宋体"/>
                <w:sz w:val="20"/>
                <w:szCs w:val="20"/>
              </w:rPr>
              <w:t>标准</w:t>
            </w:r>
          </w:p>
        </w:tc>
        <w:tc>
          <w:tcPr>
            <w:tcW w:w="1352" w:type="dxa"/>
            <w:vAlign w:val="center"/>
          </w:tcPr>
          <w:p>
            <w:pPr>
              <w:spacing w:line="276" w:lineRule="auto"/>
              <w:jc w:val="center"/>
              <w:rPr>
                <w:sz w:val="20"/>
              </w:rPr>
            </w:pPr>
            <w:r>
              <w:rPr>
                <w:sz w:val="20"/>
              </w:rPr>
              <w:t>GB 38031</w:t>
            </w:r>
            <w:r>
              <w:rPr>
                <w:rFonts w:hint="eastAsia"/>
                <w:sz w:val="20"/>
                <w:lang w:eastAsia="zh-CN"/>
              </w:rPr>
              <w:t>—</w:t>
            </w:r>
            <w:r>
              <w:rPr>
                <w:sz w:val="20"/>
              </w:rPr>
              <w:t>2020</w:t>
            </w:r>
          </w:p>
        </w:tc>
        <w:tc>
          <w:tcPr>
            <w:tcW w:w="1685" w:type="dxa"/>
            <w:vAlign w:val="center"/>
          </w:tcPr>
          <w:p>
            <w:pPr>
              <w:spacing w:line="276" w:lineRule="auto"/>
              <w:jc w:val="center"/>
              <w:rPr>
                <w:sz w:val="20"/>
              </w:rPr>
            </w:pPr>
            <w:r>
              <w:rPr>
                <w:sz w:val="20"/>
              </w:rPr>
              <w:t>IEC 62660-3:2022</w:t>
            </w:r>
          </w:p>
        </w:tc>
        <w:tc>
          <w:tcPr>
            <w:tcW w:w="1504" w:type="dxa"/>
            <w:vAlign w:val="center"/>
          </w:tcPr>
          <w:p>
            <w:pPr>
              <w:spacing w:line="276" w:lineRule="auto"/>
              <w:jc w:val="center"/>
              <w:rPr>
                <w:sz w:val="20"/>
              </w:rPr>
            </w:pPr>
            <w:r>
              <w:rPr>
                <w:sz w:val="20"/>
              </w:rPr>
              <w:t>ISO 6469-1:2019</w:t>
            </w:r>
          </w:p>
        </w:tc>
        <w:tc>
          <w:tcPr>
            <w:tcW w:w="1603" w:type="dxa"/>
            <w:vAlign w:val="center"/>
          </w:tcPr>
          <w:p>
            <w:pPr>
              <w:spacing w:line="276" w:lineRule="auto"/>
              <w:jc w:val="center"/>
              <w:rPr>
                <w:sz w:val="20"/>
              </w:rPr>
            </w:pPr>
            <w:r>
              <w:rPr>
                <w:rFonts w:hint="eastAsia"/>
                <w:sz w:val="20"/>
              </w:rPr>
              <w:t>EVS</w:t>
            </w:r>
            <w:r>
              <w:rPr>
                <w:sz w:val="20"/>
              </w:rPr>
              <w:t xml:space="preserve"> </w:t>
            </w:r>
            <w:r>
              <w:rPr>
                <w:rFonts w:hint="eastAsia"/>
                <w:sz w:val="20"/>
              </w:rPr>
              <w:t>GTR</w:t>
            </w:r>
          </w:p>
        </w:tc>
        <w:tc>
          <w:tcPr>
            <w:tcW w:w="1645" w:type="dxa"/>
            <w:vAlign w:val="center"/>
          </w:tcPr>
          <w:p>
            <w:pPr>
              <w:spacing w:line="276" w:lineRule="auto"/>
              <w:jc w:val="center"/>
              <w:rPr>
                <w:sz w:val="20"/>
              </w:rPr>
            </w:pPr>
            <w:r>
              <w:rPr>
                <w:sz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rPr>
                <w:rFonts w:ascii="宋体" w:hAnsi="宋体"/>
                <w:sz w:val="20"/>
                <w:szCs w:val="20"/>
              </w:rPr>
            </w:pPr>
            <w:r>
              <w:rPr>
                <w:sz w:val="20"/>
                <w:szCs w:val="20"/>
              </w:rPr>
              <w:t>电池单体</w:t>
            </w:r>
          </w:p>
        </w:tc>
        <w:tc>
          <w:tcPr>
            <w:tcW w:w="1352" w:type="dxa"/>
            <w:vAlign w:val="center"/>
          </w:tcPr>
          <w:p>
            <w:pPr>
              <w:spacing w:line="276" w:lineRule="auto"/>
              <w:jc w:val="both"/>
              <w:rPr>
                <w:sz w:val="20"/>
                <w:szCs w:val="20"/>
              </w:rPr>
            </w:pPr>
            <w:r>
              <w:rPr>
                <w:sz w:val="20"/>
                <w:szCs w:val="20"/>
              </w:rPr>
              <w:t>将化学能与电能进行相互转换的基本单元装置</w:t>
            </w:r>
          </w:p>
        </w:tc>
        <w:tc>
          <w:tcPr>
            <w:tcW w:w="1685" w:type="dxa"/>
            <w:vAlign w:val="center"/>
          </w:tcPr>
          <w:p>
            <w:pPr>
              <w:spacing w:line="276" w:lineRule="auto"/>
              <w:jc w:val="both"/>
              <w:rPr>
                <w:sz w:val="20"/>
                <w:szCs w:val="20"/>
              </w:rPr>
            </w:pPr>
            <w:r>
              <w:rPr>
                <w:sz w:val="20"/>
                <w:szCs w:val="20"/>
              </w:rPr>
              <w:t>电能来源于锂离子在正负极之间的嵌入/脱出的二次单体电池</w:t>
            </w:r>
          </w:p>
        </w:tc>
        <w:tc>
          <w:tcPr>
            <w:tcW w:w="1504" w:type="dxa"/>
            <w:vAlign w:val="center"/>
          </w:tcPr>
          <w:p>
            <w:pPr>
              <w:spacing w:line="276" w:lineRule="auto"/>
              <w:jc w:val="both"/>
              <w:rPr>
                <w:sz w:val="20"/>
                <w:szCs w:val="20"/>
              </w:rPr>
            </w:pPr>
            <w:r>
              <w:rPr>
                <w:rFonts w:hint="eastAsia"/>
                <w:sz w:val="20"/>
                <w:szCs w:val="20"/>
              </w:rPr>
              <w:t>/</w:t>
            </w:r>
          </w:p>
        </w:tc>
        <w:tc>
          <w:tcPr>
            <w:tcW w:w="1603" w:type="dxa"/>
            <w:vAlign w:val="center"/>
          </w:tcPr>
          <w:p>
            <w:pPr>
              <w:spacing w:line="276" w:lineRule="auto"/>
              <w:jc w:val="both"/>
              <w:rPr>
                <w:sz w:val="20"/>
                <w:szCs w:val="20"/>
              </w:rPr>
            </w:pPr>
            <w:r>
              <w:rPr>
                <w:rFonts w:hint="eastAsia"/>
                <w:sz w:val="20"/>
                <w:szCs w:val="20"/>
              </w:rPr>
              <w:t>一个独立封装的电化学单元，</w:t>
            </w:r>
            <w:r>
              <w:rPr>
                <w:sz w:val="20"/>
                <w:szCs w:val="20"/>
              </w:rPr>
              <w:t>包含</w:t>
            </w:r>
            <w:r>
              <w:rPr>
                <w:rFonts w:hint="eastAsia"/>
                <w:sz w:val="20"/>
                <w:szCs w:val="20"/>
              </w:rPr>
              <w:t>存在电压差的</w:t>
            </w:r>
            <w:r>
              <w:rPr>
                <w:sz w:val="20"/>
                <w:szCs w:val="20"/>
              </w:rPr>
              <w:t>一个正极端子和一个负极端子</w:t>
            </w:r>
            <w:r>
              <w:rPr>
                <w:rFonts w:hint="eastAsia"/>
                <w:sz w:val="20"/>
                <w:szCs w:val="20"/>
              </w:rPr>
              <w:t>，被</w:t>
            </w:r>
            <w:r>
              <w:rPr>
                <w:sz w:val="20"/>
                <w:szCs w:val="20"/>
              </w:rPr>
              <w:t>用作可充电电能储存装置</w:t>
            </w:r>
          </w:p>
        </w:tc>
        <w:tc>
          <w:tcPr>
            <w:tcW w:w="1645" w:type="dxa"/>
            <w:vAlign w:val="center"/>
          </w:tcPr>
          <w:p>
            <w:pPr>
              <w:spacing w:line="276" w:lineRule="auto"/>
              <w:jc w:val="both"/>
              <w:rPr>
                <w:sz w:val="20"/>
                <w:szCs w:val="20"/>
              </w:rPr>
            </w:pPr>
            <w:r>
              <w:rPr>
                <w:rFonts w:hint="eastAsia"/>
                <w:sz w:val="20"/>
                <w:szCs w:val="20"/>
              </w:rPr>
              <w:t>一个独立封装的电化学单元，</w:t>
            </w:r>
            <w:r>
              <w:rPr>
                <w:sz w:val="20"/>
                <w:szCs w:val="20"/>
              </w:rPr>
              <w:t>包含</w:t>
            </w:r>
            <w:r>
              <w:rPr>
                <w:rFonts w:hint="eastAsia"/>
                <w:sz w:val="20"/>
                <w:szCs w:val="20"/>
              </w:rPr>
              <w:t>存在电压差的</w:t>
            </w:r>
            <w:r>
              <w:rPr>
                <w:sz w:val="20"/>
                <w:szCs w:val="20"/>
              </w:rPr>
              <w:t>一个正极端子和一个负极端子</w:t>
            </w:r>
            <w:r>
              <w:rPr>
                <w:rFonts w:hint="eastAsia"/>
                <w:sz w:val="20"/>
                <w:szCs w:val="20"/>
              </w:rPr>
              <w:t>，被</w:t>
            </w:r>
            <w:r>
              <w:rPr>
                <w:sz w:val="20"/>
                <w:szCs w:val="20"/>
              </w:rPr>
              <w:t>用作可充电电能储存装置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rPr>
                <w:sz w:val="20"/>
                <w:szCs w:val="20"/>
              </w:rPr>
            </w:pPr>
            <w:r>
              <w:rPr>
                <w:sz w:val="20"/>
                <w:szCs w:val="20"/>
              </w:rPr>
              <w:t>电池模块</w:t>
            </w:r>
          </w:p>
        </w:tc>
        <w:tc>
          <w:tcPr>
            <w:tcW w:w="1352" w:type="dxa"/>
            <w:vAlign w:val="center"/>
          </w:tcPr>
          <w:p>
            <w:pPr>
              <w:spacing w:line="276" w:lineRule="auto"/>
              <w:jc w:val="both"/>
              <w:rPr>
                <w:sz w:val="20"/>
                <w:szCs w:val="20"/>
              </w:rPr>
            </w:pPr>
            <w:r>
              <w:rPr>
                <w:sz w:val="20"/>
                <w:szCs w:val="20"/>
              </w:rPr>
              <w:t>将一个以上电池单体按照串联、并联或串并联方式组合</w:t>
            </w:r>
            <w:r>
              <w:rPr>
                <w:rFonts w:ascii="宋体" w:hAnsi="宋体"/>
                <w:sz w:val="20"/>
                <w:szCs w:val="20"/>
              </w:rPr>
              <w:t>,</w:t>
            </w:r>
            <w:r>
              <w:rPr>
                <w:sz w:val="20"/>
                <w:szCs w:val="20"/>
              </w:rPr>
              <w:t>并作为电源使用的组合体</w:t>
            </w:r>
          </w:p>
        </w:tc>
        <w:tc>
          <w:tcPr>
            <w:tcW w:w="1685" w:type="dxa"/>
            <w:vAlign w:val="center"/>
          </w:tcPr>
          <w:p>
            <w:pPr>
              <w:spacing w:line="276" w:lineRule="auto"/>
              <w:jc w:val="both"/>
              <w:rPr>
                <w:sz w:val="20"/>
                <w:szCs w:val="20"/>
              </w:rPr>
            </w:pPr>
            <w:r>
              <w:rPr>
                <w:sz w:val="20"/>
                <w:szCs w:val="20"/>
              </w:rPr>
              <w:t>以并联方式连接</w:t>
            </w:r>
            <w:r>
              <w:rPr>
                <w:rFonts w:hint="eastAsia"/>
                <w:sz w:val="20"/>
                <w:szCs w:val="20"/>
              </w:rPr>
              <w:t>（带或不带</w:t>
            </w:r>
            <w:r>
              <w:rPr>
                <w:sz w:val="20"/>
                <w:szCs w:val="20"/>
              </w:rPr>
              <w:t>保护装置，如保险丝或PTC</w:t>
            </w:r>
            <w:r>
              <w:rPr>
                <w:rFonts w:hint="eastAsia"/>
                <w:sz w:val="20"/>
                <w:szCs w:val="20"/>
              </w:rPr>
              <w:t>）的一组电池</w:t>
            </w:r>
            <w:r>
              <w:rPr>
                <w:sz w:val="20"/>
                <w:szCs w:val="20"/>
              </w:rPr>
              <w:t>，</w:t>
            </w:r>
            <w:r>
              <w:rPr>
                <w:rFonts w:hint="eastAsia"/>
                <w:sz w:val="20"/>
                <w:szCs w:val="20"/>
              </w:rPr>
              <w:t>但未</w:t>
            </w:r>
            <w:r>
              <w:rPr>
                <w:sz w:val="20"/>
                <w:szCs w:val="20"/>
              </w:rPr>
              <w:t>安装其最终</w:t>
            </w:r>
            <w:r>
              <w:rPr>
                <w:rFonts w:hint="eastAsia"/>
                <w:sz w:val="20"/>
                <w:szCs w:val="20"/>
              </w:rPr>
              <w:t>的</w:t>
            </w:r>
            <w:r>
              <w:rPr>
                <w:sz w:val="20"/>
                <w:szCs w:val="20"/>
              </w:rPr>
              <w:t>外壳、端子布置和电子控制装置</w:t>
            </w:r>
          </w:p>
        </w:tc>
        <w:tc>
          <w:tcPr>
            <w:tcW w:w="1504" w:type="dxa"/>
            <w:vAlign w:val="center"/>
          </w:tcPr>
          <w:p>
            <w:pPr>
              <w:spacing w:line="276" w:lineRule="auto"/>
              <w:jc w:val="both"/>
              <w:rPr>
                <w:rFonts w:ascii="宋体" w:hAnsi="宋体"/>
                <w:sz w:val="20"/>
                <w:szCs w:val="20"/>
              </w:rPr>
            </w:pPr>
            <w:r>
              <w:rPr>
                <w:sz w:val="20"/>
                <w:szCs w:val="20"/>
              </w:rPr>
              <w:t>/</w:t>
            </w:r>
          </w:p>
        </w:tc>
        <w:tc>
          <w:tcPr>
            <w:tcW w:w="1603" w:type="dxa"/>
            <w:vAlign w:val="center"/>
          </w:tcPr>
          <w:p>
            <w:pPr>
              <w:spacing w:line="276" w:lineRule="auto"/>
              <w:jc w:val="both"/>
              <w:rPr>
                <w:rFonts w:ascii="宋体" w:hAnsi="宋体"/>
                <w:sz w:val="20"/>
                <w:szCs w:val="20"/>
              </w:rPr>
            </w:pPr>
            <w:r>
              <w:rPr>
                <w:sz w:val="20"/>
                <w:szCs w:val="20"/>
              </w:rPr>
              <w:t>/</w:t>
            </w:r>
          </w:p>
        </w:tc>
        <w:tc>
          <w:tcPr>
            <w:tcW w:w="1645" w:type="dxa"/>
            <w:vAlign w:val="center"/>
          </w:tcPr>
          <w:p>
            <w:pPr>
              <w:spacing w:line="276" w:lineRule="auto"/>
              <w:jc w:val="both"/>
              <w:rPr>
                <w:rFonts w:ascii="宋体" w:hAnsi="宋体"/>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rPr>
                <w:sz w:val="20"/>
                <w:szCs w:val="20"/>
              </w:rPr>
            </w:pPr>
            <w:r>
              <w:rPr>
                <w:sz w:val="20"/>
                <w:szCs w:val="20"/>
              </w:rPr>
              <w:t>电池包</w:t>
            </w:r>
          </w:p>
        </w:tc>
        <w:tc>
          <w:tcPr>
            <w:tcW w:w="1352" w:type="dxa"/>
            <w:vAlign w:val="center"/>
          </w:tcPr>
          <w:p>
            <w:pPr>
              <w:spacing w:line="276" w:lineRule="auto"/>
              <w:jc w:val="both"/>
              <w:rPr>
                <w:sz w:val="20"/>
                <w:szCs w:val="20"/>
              </w:rPr>
            </w:pPr>
            <w:r>
              <w:rPr>
                <w:sz w:val="20"/>
                <w:szCs w:val="20"/>
              </w:rPr>
              <w:t>具有从外部获得电能并可对外输出电能的单元</w:t>
            </w:r>
          </w:p>
        </w:tc>
        <w:tc>
          <w:tcPr>
            <w:tcW w:w="1685" w:type="dxa"/>
            <w:vAlign w:val="center"/>
          </w:tcPr>
          <w:p>
            <w:pPr>
              <w:spacing w:line="276" w:lineRule="auto"/>
              <w:jc w:val="both"/>
              <w:rPr>
                <w:sz w:val="20"/>
                <w:szCs w:val="20"/>
              </w:rPr>
            </w:pPr>
            <w:r>
              <w:rPr>
                <w:sz w:val="20"/>
                <w:szCs w:val="20"/>
              </w:rPr>
              <w:t>/</w:t>
            </w:r>
          </w:p>
        </w:tc>
        <w:tc>
          <w:tcPr>
            <w:tcW w:w="1504" w:type="dxa"/>
            <w:vAlign w:val="center"/>
          </w:tcPr>
          <w:p>
            <w:pPr>
              <w:spacing w:line="276" w:lineRule="auto"/>
              <w:jc w:val="both"/>
              <w:rPr>
                <w:rFonts w:ascii="宋体" w:hAnsi="宋体"/>
                <w:sz w:val="20"/>
                <w:szCs w:val="20"/>
              </w:rPr>
            </w:pPr>
            <w:r>
              <w:rPr>
                <w:sz w:val="20"/>
                <w:szCs w:val="20"/>
              </w:rPr>
              <w:t>/</w:t>
            </w:r>
          </w:p>
        </w:tc>
        <w:tc>
          <w:tcPr>
            <w:tcW w:w="1603" w:type="dxa"/>
            <w:vAlign w:val="center"/>
          </w:tcPr>
          <w:p>
            <w:pPr>
              <w:spacing w:line="276" w:lineRule="auto"/>
              <w:jc w:val="both"/>
              <w:rPr>
                <w:rFonts w:ascii="宋体" w:hAnsi="宋体"/>
                <w:sz w:val="20"/>
                <w:szCs w:val="20"/>
              </w:rPr>
            </w:pPr>
            <w:r>
              <w:rPr>
                <w:sz w:val="20"/>
                <w:szCs w:val="20"/>
              </w:rPr>
              <w:t>为</w:t>
            </w:r>
            <w:r>
              <w:rPr>
                <w:rFonts w:hint="eastAsia"/>
                <w:sz w:val="20"/>
                <w:szCs w:val="20"/>
              </w:rPr>
              <w:t>电力驱动</w:t>
            </w:r>
            <w:r>
              <w:rPr>
                <w:sz w:val="20"/>
                <w:szCs w:val="20"/>
              </w:rPr>
              <w:t>提供电能的可充电</w:t>
            </w:r>
            <w:r>
              <w:rPr>
                <w:rFonts w:hint="eastAsia"/>
                <w:sz w:val="20"/>
                <w:szCs w:val="20"/>
              </w:rPr>
              <w:t>储能</w:t>
            </w:r>
            <w:r>
              <w:rPr>
                <w:sz w:val="20"/>
                <w:szCs w:val="20"/>
              </w:rPr>
              <w:t>系统</w:t>
            </w:r>
          </w:p>
        </w:tc>
        <w:tc>
          <w:tcPr>
            <w:tcW w:w="1645" w:type="dxa"/>
            <w:vAlign w:val="center"/>
          </w:tcPr>
          <w:p>
            <w:pPr>
              <w:spacing w:line="276" w:lineRule="auto"/>
              <w:jc w:val="both"/>
              <w:rPr>
                <w:rFonts w:ascii="宋体" w:hAnsi="宋体"/>
                <w:sz w:val="20"/>
                <w:szCs w:val="20"/>
              </w:rPr>
            </w:pPr>
            <w:r>
              <w:rPr>
                <w:sz w:val="20"/>
                <w:szCs w:val="20"/>
              </w:rPr>
              <w:t>为</w:t>
            </w:r>
            <w:r>
              <w:rPr>
                <w:rFonts w:hint="eastAsia"/>
                <w:sz w:val="20"/>
                <w:szCs w:val="20"/>
              </w:rPr>
              <w:t>电力驱动</w:t>
            </w:r>
            <w:r>
              <w:rPr>
                <w:sz w:val="20"/>
                <w:szCs w:val="20"/>
              </w:rPr>
              <w:t>提供电能的可充电</w:t>
            </w:r>
            <w:r>
              <w:rPr>
                <w:rFonts w:hint="eastAsia"/>
                <w:sz w:val="20"/>
                <w:szCs w:val="20"/>
              </w:rPr>
              <w:t>储能</w:t>
            </w:r>
            <w:r>
              <w:rPr>
                <w:sz w:val="20"/>
                <w:szCs w:val="20"/>
              </w:rPr>
              <w:t>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rPr>
                <w:sz w:val="20"/>
                <w:szCs w:val="20"/>
              </w:rPr>
            </w:pPr>
            <w:r>
              <w:rPr>
                <w:sz w:val="20"/>
                <w:szCs w:val="20"/>
              </w:rPr>
              <w:t>电池系统</w:t>
            </w:r>
          </w:p>
        </w:tc>
        <w:tc>
          <w:tcPr>
            <w:tcW w:w="1352" w:type="dxa"/>
            <w:vAlign w:val="center"/>
          </w:tcPr>
          <w:p>
            <w:pPr>
              <w:spacing w:line="276" w:lineRule="auto"/>
              <w:jc w:val="both"/>
              <w:rPr>
                <w:sz w:val="20"/>
                <w:szCs w:val="20"/>
              </w:rPr>
            </w:pPr>
            <w:r>
              <w:rPr>
                <w:sz w:val="20"/>
                <w:szCs w:val="20"/>
              </w:rPr>
              <w:t>一个或一个以上的电池包及相应附件（管理系统、高压电路、低压电路及机械总成等）构成的能量存储装置</w:t>
            </w:r>
          </w:p>
        </w:tc>
        <w:tc>
          <w:tcPr>
            <w:tcW w:w="1685" w:type="dxa"/>
            <w:vAlign w:val="center"/>
          </w:tcPr>
          <w:p>
            <w:pPr>
              <w:spacing w:line="276" w:lineRule="auto"/>
              <w:jc w:val="both"/>
              <w:rPr>
                <w:sz w:val="20"/>
                <w:szCs w:val="20"/>
              </w:rPr>
            </w:pPr>
            <w:r>
              <w:rPr>
                <w:sz w:val="20"/>
                <w:szCs w:val="20"/>
              </w:rPr>
              <w:t>/</w:t>
            </w:r>
          </w:p>
        </w:tc>
        <w:tc>
          <w:tcPr>
            <w:tcW w:w="1504" w:type="dxa"/>
            <w:vAlign w:val="center"/>
          </w:tcPr>
          <w:p>
            <w:pPr>
              <w:spacing w:line="276" w:lineRule="auto"/>
              <w:jc w:val="both"/>
              <w:rPr>
                <w:rFonts w:ascii="宋体" w:hAnsi="宋体"/>
                <w:sz w:val="20"/>
                <w:szCs w:val="20"/>
              </w:rPr>
            </w:pPr>
            <w:r>
              <w:rPr>
                <w:sz w:val="20"/>
                <w:szCs w:val="20"/>
              </w:rPr>
              <w:t>可充电储能系统，储存能量为电力驱动提供电能</w:t>
            </w:r>
          </w:p>
        </w:tc>
        <w:tc>
          <w:tcPr>
            <w:tcW w:w="1603" w:type="dxa"/>
            <w:vAlign w:val="center"/>
          </w:tcPr>
          <w:p>
            <w:pPr>
              <w:spacing w:line="276" w:lineRule="auto"/>
              <w:jc w:val="both"/>
              <w:rPr>
                <w:rFonts w:ascii="宋体" w:hAnsi="宋体"/>
                <w:sz w:val="20"/>
                <w:szCs w:val="20"/>
              </w:rPr>
            </w:pPr>
            <w:r>
              <w:rPr>
                <w:sz w:val="20"/>
                <w:szCs w:val="20"/>
              </w:rPr>
              <w:t>/</w:t>
            </w:r>
          </w:p>
        </w:tc>
        <w:tc>
          <w:tcPr>
            <w:tcW w:w="1645" w:type="dxa"/>
            <w:vAlign w:val="center"/>
          </w:tcPr>
          <w:p>
            <w:pPr>
              <w:spacing w:line="276" w:lineRule="auto"/>
              <w:jc w:val="both"/>
              <w:rPr>
                <w:rFonts w:ascii="宋体" w:hAnsi="宋体"/>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rPr>
                <w:rFonts w:ascii="宋体" w:hAnsi="宋体"/>
                <w:sz w:val="20"/>
                <w:szCs w:val="20"/>
              </w:rPr>
            </w:pPr>
            <w:r>
              <w:rPr>
                <w:sz w:val="20"/>
                <w:szCs w:val="20"/>
              </w:rPr>
              <w:t>热事件</w:t>
            </w:r>
          </w:p>
        </w:tc>
        <w:tc>
          <w:tcPr>
            <w:tcW w:w="1352" w:type="dxa"/>
            <w:vAlign w:val="center"/>
          </w:tcPr>
          <w:p>
            <w:pPr>
              <w:spacing w:line="276" w:lineRule="auto"/>
              <w:jc w:val="both"/>
              <w:rPr>
                <w:sz w:val="20"/>
                <w:szCs w:val="20"/>
              </w:rPr>
            </w:pPr>
            <w:r>
              <w:rPr>
                <w:sz w:val="20"/>
                <w:szCs w:val="20"/>
              </w:rPr>
              <w:t>/</w:t>
            </w:r>
          </w:p>
        </w:tc>
        <w:tc>
          <w:tcPr>
            <w:tcW w:w="1685" w:type="dxa"/>
            <w:vAlign w:val="center"/>
          </w:tcPr>
          <w:p>
            <w:pPr>
              <w:spacing w:line="276" w:lineRule="auto"/>
              <w:jc w:val="both"/>
              <w:rPr>
                <w:rFonts w:ascii="宋体" w:hAnsi="宋体"/>
                <w:sz w:val="20"/>
                <w:szCs w:val="20"/>
              </w:rPr>
            </w:pPr>
            <w:r>
              <w:rPr>
                <w:sz w:val="20"/>
                <w:szCs w:val="20"/>
              </w:rPr>
              <w:t>/</w:t>
            </w:r>
          </w:p>
        </w:tc>
        <w:tc>
          <w:tcPr>
            <w:tcW w:w="1504" w:type="dxa"/>
            <w:vAlign w:val="center"/>
          </w:tcPr>
          <w:p>
            <w:pPr>
              <w:spacing w:line="276" w:lineRule="auto"/>
              <w:jc w:val="both"/>
              <w:rPr>
                <w:rFonts w:ascii="宋体" w:hAnsi="宋体"/>
                <w:sz w:val="20"/>
                <w:szCs w:val="20"/>
              </w:rPr>
            </w:pPr>
            <w:r>
              <w:rPr>
                <w:sz w:val="20"/>
                <w:szCs w:val="20"/>
              </w:rPr>
              <w:t>当可充电储能系统内的温度显著上升或高于供应商或客户规定的最高工作温度时发生的状况（事件）</w:t>
            </w:r>
          </w:p>
        </w:tc>
        <w:tc>
          <w:tcPr>
            <w:tcW w:w="1603" w:type="dxa"/>
            <w:vAlign w:val="center"/>
          </w:tcPr>
          <w:p>
            <w:pPr>
              <w:spacing w:line="276" w:lineRule="auto"/>
              <w:jc w:val="both"/>
              <w:rPr>
                <w:rFonts w:ascii="宋体" w:hAnsi="宋体"/>
                <w:sz w:val="20"/>
                <w:szCs w:val="20"/>
              </w:rPr>
            </w:pPr>
            <w:r>
              <w:rPr>
                <w:sz w:val="20"/>
                <w:szCs w:val="20"/>
              </w:rPr>
              <w:t>是指当可充电储能系统中的温度显著高于最高工作温度（按照制造商的规定）时的状态</w:t>
            </w:r>
          </w:p>
        </w:tc>
        <w:tc>
          <w:tcPr>
            <w:tcW w:w="1645" w:type="dxa"/>
            <w:vAlign w:val="center"/>
          </w:tcPr>
          <w:p>
            <w:pPr>
              <w:spacing w:line="276" w:lineRule="auto"/>
              <w:jc w:val="both"/>
              <w:rPr>
                <w:rFonts w:ascii="宋体" w:hAnsi="宋体"/>
                <w:sz w:val="20"/>
                <w:szCs w:val="20"/>
              </w:rPr>
            </w:pPr>
            <w:r>
              <w:rPr>
                <w:sz w:val="20"/>
                <w:szCs w:val="20"/>
              </w:rPr>
              <w:t>是指当可充电储能系统中的温度显著高于最高工作温度（按照制造商的规定）时的状态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rPr>
                <w:rFonts w:ascii="宋体" w:hAnsi="宋体"/>
                <w:sz w:val="20"/>
                <w:szCs w:val="20"/>
              </w:rPr>
            </w:pPr>
            <w:r>
              <w:rPr>
                <w:sz w:val="20"/>
                <w:szCs w:val="20"/>
              </w:rPr>
              <w:t>热失控</w:t>
            </w:r>
          </w:p>
        </w:tc>
        <w:tc>
          <w:tcPr>
            <w:tcW w:w="1352" w:type="dxa"/>
            <w:vAlign w:val="center"/>
          </w:tcPr>
          <w:p>
            <w:pPr>
              <w:spacing w:line="276" w:lineRule="auto"/>
              <w:jc w:val="both"/>
              <w:rPr>
                <w:sz w:val="20"/>
                <w:szCs w:val="20"/>
              </w:rPr>
            </w:pPr>
            <w:r>
              <w:rPr>
                <w:sz w:val="20"/>
                <w:szCs w:val="20"/>
              </w:rPr>
              <w:t>电池单体放热连锁反应引起电池温度不可控上升的现象</w:t>
            </w:r>
          </w:p>
        </w:tc>
        <w:tc>
          <w:tcPr>
            <w:tcW w:w="1685" w:type="dxa"/>
            <w:vAlign w:val="center"/>
          </w:tcPr>
          <w:p>
            <w:pPr>
              <w:spacing w:line="276" w:lineRule="auto"/>
              <w:jc w:val="both"/>
              <w:rPr>
                <w:rFonts w:ascii="宋体" w:hAnsi="宋体"/>
                <w:sz w:val="20"/>
                <w:szCs w:val="20"/>
              </w:rPr>
            </w:pPr>
            <w:r>
              <w:rPr>
                <w:sz w:val="20"/>
                <w:szCs w:val="20"/>
              </w:rPr>
              <w:t>/</w:t>
            </w:r>
          </w:p>
        </w:tc>
        <w:tc>
          <w:tcPr>
            <w:tcW w:w="1504" w:type="dxa"/>
            <w:vAlign w:val="center"/>
          </w:tcPr>
          <w:p>
            <w:pPr>
              <w:spacing w:line="276" w:lineRule="auto"/>
              <w:jc w:val="both"/>
              <w:rPr>
                <w:rFonts w:ascii="宋体" w:hAnsi="宋体"/>
                <w:sz w:val="20"/>
                <w:szCs w:val="20"/>
              </w:rPr>
            </w:pPr>
            <w:r>
              <w:rPr>
                <w:sz w:val="20"/>
                <w:szCs w:val="20"/>
              </w:rPr>
              <w:t>由单体内不受控制的放热反应产热</w:t>
            </w:r>
          </w:p>
        </w:tc>
        <w:tc>
          <w:tcPr>
            <w:tcW w:w="1603" w:type="dxa"/>
            <w:vAlign w:val="center"/>
          </w:tcPr>
          <w:p>
            <w:pPr>
              <w:spacing w:line="276" w:lineRule="auto"/>
              <w:jc w:val="both"/>
              <w:rPr>
                <w:rFonts w:ascii="宋体" w:hAnsi="宋体"/>
                <w:sz w:val="20"/>
                <w:szCs w:val="20"/>
              </w:rPr>
            </w:pPr>
            <w:r>
              <w:rPr>
                <w:sz w:val="20"/>
                <w:szCs w:val="20"/>
              </w:rPr>
              <w:t>由电池单体放热连锁反应引起电池自温升速率急剧变化的现象</w:t>
            </w:r>
          </w:p>
        </w:tc>
        <w:tc>
          <w:tcPr>
            <w:tcW w:w="1645" w:type="dxa"/>
            <w:vAlign w:val="center"/>
          </w:tcPr>
          <w:p>
            <w:pPr>
              <w:spacing w:line="276" w:lineRule="auto"/>
              <w:jc w:val="both"/>
              <w:rPr>
                <w:rFonts w:ascii="宋体" w:hAnsi="宋体"/>
                <w:sz w:val="20"/>
                <w:szCs w:val="20"/>
              </w:rPr>
            </w:pPr>
            <w:r>
              <w:rPr>
                <w:sz w:val="20"/>
                <w:szCs w:val="20"/>
              </w:rPr>
              <w:t>由电池单体放热连锁反应引起电池自温升速率急剧变化的现象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rPr>
                <w:rFonts w:ascii="宋体" w:hAnsi="宋体"/>
                <w:sz w:val="20"/>
                <w:szCs w:val="20"/>
              </w:rPr>
            </w:pPr>
            <w:r>
              <w:rPr>
                <w:sz w:val="20"/>
                <w:szCs w:val="20"/>
              </w:rPr>
              <w:t>热扩散</w:t>
            </w:r>
          </w:p>
        </w:tc>
        <w:tc>
          <w:tcPr>
            <w:tcW w:w="1352" w:type="dxa"/>
            <w:vAlign w:val="center"/>
          </w:tcPr>
          <w:p>
            <w:pPr>
              <w:spacing w:line="276" w:lineRule="auto"/>
              <w:jc w:val="both"/>
              <w:rPr>
                <w:rFonts w:ascii="宋体" w:hAnsi="宋体"/>
                <w:sz w:val="20"/>
                <w:szCs w:val="20"/>
              </w:rPr>
            </w:pPr>
            <w:r>
              <w:rPr>
                <w:sz w:val="20"/>
                <w:szCs w:val="20"/>
              </w:rPr>
              <w:t>电池包或系统内由一个电池单体热失控引发的其余电池单体接连发生热失控的现象</w:t>
            </w:r>
          </w:p>
        </w:tc>
        <w:tc>
          <w:tcPr>
            <w:tcW w:w="1685" w:type="dxa"/>
            <w:vAlign w:val="center"/>
          </w:tcPr>
          <w:p>
            <w:pPr>
              <w:spacing w:line="276" w:lineRule="auto"/>
              <w:jc w:val="both"/>
              <w:rPr>
                <w:rFonts w:ascii="宋体" w:hAnsi="宋体"/>
                <w:sz w:val="20"/>
                <w:szCs w:val="20"/>
              </w:rPr>
            </w:pPr>
            <w:r>
              <w:rPr>
                <w:sz w:val="20"/>
                <w:szCs w:val="20"/>
              </w:rPr>
              <w:t>/</w:t>
            </w:r>
          </w:p>
        </w:tc>
        <w:tc>
          <w:tcPr>
            <w:tcW w:w="1504" w:type="dxa"/>
            <w:vAlign w:val="center"/>
          </w:tcPr>
          <w:p>
            <w:pPr>
              <w:spacing w:line="276" w:lineRule="auto"/>
              <w:jc w:val="both"/>
              <w:rPr>
                <w:rFonts w:ascii="宋体" w:hAnsi="宋体"/>
                <w:sz w:val="20"/>
                <w:szCs w:val="20"/>
              </w:rPr>
            </w:pPr>
            <w:r>
              <w:rPr>
                <w:sz w:val="20"/>
                <w:szCs w:val="20"/>
              </w:rPr>
              <w:t>将单个电池热失控产生的热能传递到相邻的电池，从而导致可充电储能系统中其他电池或任何可充电储能系统组件的热失控</w:t>
            </w:r>
          </w:p>
        </w:tc>
        <w:tc>
          <w:tcPr>
            <w:tcW w:w="1603" w:type="dxa"/>
            <w:vAlign w:val="center"/>
          </w:tcPr>
          <w:p>
            <w:pPr>
              <w:spacing w:line="276" w:lineRule="auto"/>
              <w:jc w:val="both"/>
              <w:rPr>
                <w:rFonts w:ascii="宋体" w:hAnsi="宋体"/>
                <w:sz w:val="20"/>
                <w:szCs w:val="20"/>
              </w:rPr>
            </w:pPr>
            <w:r>
              <w:rPr>
                <w:sz w:val="20"/>
                <w:szCs w:val="20"/>
              </w:rPr>
              <w:t>电池包或系统内由一个电池单体热失控引发的其余电池单体接连发生热失控的现象</w:t>
            </w:r>
          </w:p>
        </w:tc>
        <w:tc>
          <w:tcPr>
            <w:tcW w:w="1645" w:type="dxa"/>
            <w:vAlign w:val="center"/>
          </w:tcPr>
          <w:p>
            <w:pPr>
              <w:spacing w:line="276" w:lineRule="auto"/>
              <w:jc w:val="both"/>
              <w:rPr>
                <w:rFonts w:ascii="宋体" w:hAnsi="宋体"/>
                <w:sz w:val="20"/>
                <w:szCs w:val="20"/>
              </w:rPr>
            </w:pPr>
            <w:r>
              <w:rPr>
                <w:sz w:val="20"/>
                <w:szCs w:val="20"/>
              </w:rPr>
              <w:t>电池包或系统内由一个电池单体热失控引发的其余电池单体接连发生热失控的现象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rPr>
                <w:rFonts w:ascii="宋体" w:hAnsi="宋体"/>
                <w:sz w:val="20"/>
                <w:szCs w:val="20"/>
              </w:rPr>
            </w:pPr>
            <w:r>
              <w:rPr>
                <w:sz w:val="20"/>
                <w:szCs w:val="20"/>
              </w:rPr>
              <w:t>起火</w:t>
            </w:r>
          </w:p>
        </w:tc>
        <w:tc>
          <w:tcPr>
            <w:tcW w:w="1352" w:type="dxa"/>
            <w:vAlign w:val="center"/>
          </w:tcPr>
          <w:p>
            <w:pPr>
              <w:spacing w:line="276" w:lineRule="auto"/>
              <w:jc w:val="both"/>
              <w:rPr>
                <w:sz w:val="20"/>
                <w:szCs w:val="20"/>
              </w:rPr>
            </w:pPr>
            <w:r>
              <w:rPr>
                <w:sz w:val="20"/>
                <w:szCs w:val="20"/>
              </w:rPr>
              <w:t>电池单体、模块、电池包或系统任何部位发生持续燃烧（单次火焰持续时间大于1s）。火花及拉弧不属于燃烧</w:t>
            </w:r>
          </w:p>
        </w:tc>
        <w:tc>
          <w:tcPr>
            <w:tcW w:w="1685" w:type="dxa"/>
            <w:vAlign w:val="center"/>
          </w:tcPr>
          <w:p>
            <w:pPr>
              <w:spacing w:line="276" w:lineRule="auto"/>
              <w:jc w:val="both"/>
              <w:rPr>
                <w:sz w:val="20"/>
                <w:szCs w:val="20"/>
              </w:rPr>
            </w:pPr>
            <w:r>
              <w:rPr>
                <w:sz w:val="20"/>
                <w:szCs w:val="20"/>
              </w:rPr>
              <w:t>从电池单体或模块中喷出火焰。</w:t>
            </w:r>
          </w:p>
          <w:p>
            <w:pPr>
              <w:spacing w:line="276" w:lineRule="auto"/>
              <w:jc w:val="both"/>
              <w:rPr>
                <w:sz w:val="20"/>
                <w:szCs w:val="20"/>
              </w:rPr>
            </w:pPr>
            <w:r>
              <w:rPr>
                <w:sz w:val="20"/>
                <w:szCs w:val="20"/>
              </w:rPr>
              <w:t>注：火花和电弧不视为火焰</w:t>
            </w:r>
          </w:p>
        </w:tc>
        <w:tc>
          <w:tcPr>
            <w:tcW w:w="1504" w:type="dxa"/>
            <w:vAlign w:val="center"/>
          </w:tcPr>
          <w:p>
            <w:pPr>
              <w:spacing w:line="276" w:lineRule="auto"/>
              <w:jc w:val="both"/>
              <w:rPr>
                <w:sz w:val="20"/>
                <w:szCs w:val="20"/>
              </w:rPr>
            </w:pPr>
            <w:r>
              <w:rPr>
                <w:sz w:val="20"/>
                <w:szCs w:val="20"/>
              </w:rPr>
              <w:t>/</w:t>
            </w:r>
          </w:p>
        </w:tc>
        <w:tc>
          <w:tcPr>
            <w:tcW w:w="1603" w:type="dxa"/>
            <w:vAlign w:val="center"/>
          </w:tcPr>
          <w:p>
            <w:pPr>
              <w:spacing w:line="276" w:lineRule="auto"/>
              <w:jc w:val="both"/>
              <w:rPr>
                <w:sz w:val="20"/>
                <w:szCs w:val="20"/>
              </w:rPr>
            </w:pPr>
            <w:r>
              <w:rPr>
                <w:sz w:val="20"/>
                <w:szCs w:val="20"/>
              </w:rPr>
              <w:t>自试验样品中发出的火焰。火花和电弧不应视为火焰</w:t>
            </w:r>
          </w:p>
        </w:tc>
        <w:tc>
          <w:tcPr>
            <w:tcW w:w="1645" w:type="dxa"/>
            <w:vAlign w:val="center"/>
          </w:tcPr>
          <w:p>
            <w:pPr>
              <w:spacing w:line="276" w:lineRule="auto"/>
              <w:jc w:val="both"/>
              <w:rPr>
                <w:sz w:val="20"/>
                <w:szCs w:val="20"/>
              </w:rPr>
            </w:pPr>
            <w:r>
              <w:rPr>
                <w:sz w:val="20"/>
                <w:szCs w:val="20"/>
              </w:rPr>
              <w:t>自试验样品中发出的火焰。火花和电弧不应视为火焰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pPr>
            <w:r>
              <w:rPr>
                <w:sz w:val="20"/>
                <w:szCs w:val="20"/>
              </w:rPr>
              <w:t>爆炸</w:t>
            </w:r>
          </w:p>
        </w:tc>
        <w:tc>
          <w:tcPr>
            <w:tcW w:w="1352" w:type="dxa"/>
            <w:vAlign w:val="center"/>
          </w:tcPr>
          <w:p>
            <w:pPr>
              <w:spacing w:line="276" w:lineRule="auto"/>
              <w:jc w:val="both"/>
              <w:rPr>
                <w:sz w:val="20"/>
                <w:szCs w:val="20"/>
              </w:rPr>
            </w:pPr>
            <w:r>
              <w:rPr>
                <w:sz w:val="20"/>
                <w:szCs w:val="20"/>
              </w:rPr>
              <w:t>突然释放足量的能量产生压力波或者喷射物，可能会对周边区域造成结构或物理上的破坏</w:t>
            </w:r>
          </w:p>
        </w:tc>
        <w:tc>
          <w:tcPr>
            <w:tcW w:w="1685" w:type="dxa"/>
            <w:vAlign w:val="center"/>
          </w:tcPr>
          <w:p>
            <w:pPr>
              <w:spacing w:line="276" w:lineRule="auto"/>
              <w:jc w:val="both"/>
              <w:rPr>
                <w:sz w:val="20"/>
                <w:szCs w:val="20"/>
              </w:rPr>
            </w:pPr>
            <w:r>
              <w:rPr>
                <w:sz w:val="20"/>
                <w:szCs w:val="20"/>
              </w:rPr>
              <w:t>当电池</w:t>
            </w:r>
            <w:r>
              <w:rPr>
                <w:rFonts w:hint="eastAsia"/>
                <w:sz w:val="20"/>
                <w:szCs w:val="20"/>
              </w:rPr>
              <w:t>腔体</w:t>
            </w:r>
            <w:r>
              <w:rPr>
                <w:sz w:val="20"/>
                <w:szCs w:val="20"/>
              </w:rPr>
              <w:t>猛烈破裂，主要部件被强行排出的现象</w:t>
            </w:r>
          </w:p>
        </w:tc>
        <w:tc>
          <w:tcPr>
            <w:tcW w:w="1504" w:type="dxa"/>
            <w:vAlign w:val="center"/>
          </w:tcPr>
          <w:p>
            <w:pPr>
              <w:spacing w:line="276" w:lineRule="auto"/>
              <w:jc w:val="both"/>
              <w:rPr>
                <w:sz w:val="20"/>
                <w:szCs w:val="20"/>
              </w:rPr>
            </w:pPr>
            <w:r>
              <w:rPr>
                <w:rFonts w:hint="eastAsia"/>
                <w:sz w:val="20"/>
                <w:szCs w:val="20"/>
                <w:lang w:bidi="ar"/>
              </w:rPr>
              <w:t>突然释放足量的能量产生压力波或者喷射物</w:t>
            </w:r>
            <w:r>
              <w:rPr>
                <w:sz w:val="20"/>
                <w:szCs w:val="20"/>
                <w:lang w:bidi="ar"/>
              </w:rPr>
              <w:t>,</w:t>
            </w:r>
            <w:r>
              <w:rPr>
                <w:rFonts w:hint="eastAsia"/>
                <w:sz w:val="20"/>
                <w:szCs w:val="20"/>
                <w:lang w:bidi="ar"/>
              </w:rPr>
              <w:t>可能会对周边区域造成结构或物理上的破坏</w:t>
            </w:r>
            <w:r>
              <w:rPr>
                <w:rFonts w:ascii="宋体" w:hAnsi="宋体" w:cs="宋体"/>
                <w:sz w:val="24"/>
              </w:rPr>
              <w:t xml:space="preserve"> </w:t>
            </w:r>
          </w:p>
        </w:tc>
        <w:tc>
          <w:tcPr>
            <w:tcW w:w="1603" w:type="dxa"/>
            <w:vAlign w:val="center"/>
          </w:tcPr>
          <w:p>
            <w:pPr>
              <w:spacing w:line="276" w:lineRule="auto"/>
              <w:jc w:val="both"/>
              <w:rPr>
                <w:sz w:val="20"/>
                <w:szCs w:val="20"/>
              </w:rPr>
            </w:pPr>
            <w:r>
              <w:rPr>
                <w:rFonts w:hint="eastAsia"/>
                <w:sz w:val="20"/>
                <w:szCs w:val="20"/>
                <w:lang w:bidi="ar"/>
              </w:rPr>
              <w:t>突然释放足量的能量产生压力波或者喷射物</w:t>
            </w:r>
            <w:r>
              <w:rPr>
                <w:sz w:val="20"/>
                <w:szCs w:val="20"/>
                <w:lang w:bidi="ar"/>
              </w:rPr>
              <w:t>,</w:t>
            </w:r>
            <w:r>
              <w:rPr>
                <w:rFonts w:hint="eastAsia"/>
                <w:sz w:val="20"/>
                <w:szCs w:val="20"/>
                <w:lang w:bidi="ar"/>
              </w:rPr>
              <w:t>可能会对周边区域造成结构或物理上的破坏</w:t>
            </w:r>
            <w:r>
              <w:rPr>
                <w:rFonts w:ascii="宋体" w:hAnsi="宋体" w:cs="宋体"/>
                <w:sz w:val="24"/>
              </w:rPr>
              <w:t xml:space="preserve"> </w:t>
            </w:r>
          </w:p>
        </w:tc>
        <w:tc>
          <w:tcPr>
            <w:tcW w:w="1645" w:type="dxa"/>
            <w:vAlign w:val="center"/>
          </w:tcPr>
          <w:p>
            <w:pPr>
              <w:spacing w:line="276" w:lineRule="auto"/>
              <w:jc w:val="both"/>
              <w:rPr>
                <w:sz w:val="20"/>
                <w:szCs w:val="20"/>
              </w:rPr>
            </w:pPr>
            <w:r>
              <w:rPr>
                <w:rFonts w:hint="eastAsia"/>
                <w:sz w:val="20"/>
                <w:szCs w:val="20"/>
                <w:lang w:bidi="ar"/>
              </w:rPr>
              <w:t>突然释放足量的能量产生压力波或者喷射物</w:t>
            </w:r>
            <w:r>
              <w:rPr>
                <w:sz w:val="20"/>
                <w:szCs w:val="20"/>
                <w:lang w:bidi="ar"/>
              </w:rPr>
              <w:t>,</w:t>
            </w:r>
            <w:r>
              <w:rPr>
                <w:rFonts w:hint="eastAsia"/>
                <w:sz w:val="20"/>
                <w:szCs w:val="20"/>
                <w:lang w:bidi="ar"/>
              </w:rPr>
              <w:t>可能会对周边区域造成结构或物理上的破坏</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pPr>
            <w:r>
              <w:rPr>
                <w:sz w:val="20"/>
                <w:szCs w:val="20"/>
              </w:rPr>
              <w:t>破裂</w:t>
            </w:r>
          </w:p>
        </w:tc>
        <w:tc>
          <w:tcPr>
            <w:tcW w:w="1352" w:type="dxa"/>
            <w:vAlign w:val="center"/>
          </w:tcPr>
          <w:p>
            <w:pPr>
              <w:spacing w:line="276" w:lineRule="auto"/>
              <w:jc w:val="both"/>
              <w:rPr>
                <w:rFonts w:ascii="宋体" w:hAnsi="宋体"/>
                <w:sz w:val="20"/>
                <w:szCs w:val="20"/>
              </w:rPr>
            </w:pPr>
            <w:r>
              <w:rPr>
                <w:sz w:val="20"/>
                <w:szCs w:val="20"/>
              </w:rPr>
              <w:t>由于内部或外部因素引起电池单体、模块、电池包或系统外壳机械损伤</w:t>
            </w:r>
            <w:r>
              <w:rPr>
                <w:rFonts w:ascii="宋体" w:hAnsi="宋体"/>
                <w:sz w:val="20"/>
                <w:szCs w:val="20"/>
              </w:rPr>
              <w:t>,</w:t>
            </w:r>
            <w:r>
              <w:rPr>
                <w:sz w:val="20"/>
                <w:szCs w:val="20"/>
              </w:rPr>
              <w:t>导致内部物质暴露或溢出</w:t>
            </w:r>
          </w:p>
        </w:tc>
        <w:tc>
          <w:tcPr>
            <w:tcW w:w="1685" w:type="dxa"/>
            <w:vAlign w:val="center"/>
          </w:tcPr>
          <w:p>
            <w:pPr>
              <w:spacing w:line="276" w:lineRule="auto"/>
              <w:jc w:val="both"/>
              <w:rPr>
                <w:rFonts w:ascii="宋体" w:hAnsi="宋体"/>
                <w:sz w:val="20"/>
                <w:szCs w:val="20"/>
              </w:rPr>
            </w:pPr>
            <w:r>
              <w:rPr>
                <w:sz w:val="20"/>
                <w:szCs w:val="20"/>
              </w:rPr>
              <w:t>由内部或外部原因引起的</w:t>
            </w:r>
            <w:r>
              <w:rPr>
                <w:rFonts w:hint="eastAsia"/>
                <w:sz w:val="20"/>
                <w:szCs w:val="20"/>
              </w:rPr>
              <w:t>电池</w:t>
            </w:r>
            <w:r>
              <w:rPr>
                <w:sz w:val="20"/>
                <w:szCs w:val="20"/>
              </w:rPr>
              <w:t>外壳</w:t>
            </w:r>
            <w:r>
              <w:rPr>
                <w:rFonts w:hint="eastAsia"/>
                <w:sz w:val="20"/>
                <w:szCs w:val="20"/>
              </w:rPr>
              <w:t>机械失效</w:t>
            </w:r>
            <w:r>
              <w:rPr>
                <w:sz w:val="20"/>
                <w:szCs w:val="20"/>
              </w:rPr>
              <w:t>，导致材料暴露或溢出，但不会喷出</w:t>
            </w:r>
          </w:p>
        </w:tc>
        <w:tc>
          <w:tcPr>
            <w:tcW w:w="1504" w:type="dxa"/>
            <w:vAlign w:val="center"/>
          </w:tcPr>
          <w:p>
            <w:pPr>
              <w:spacing w:line="276" w:lineRule="auto"/>
              <w:jc w:val="both"/>
              <w:rPr>
                <w:rFonts w:ascii="宋体" w:hAnsi="宋体"/>
                <w:sz w:val="20"/>
                <w:szCs w:val="20"/>
              </w:rPr>
            </w:pPr>
            <w:r>
              <w:rPr>
                <w:sz w:val="20"/>
                <w:szCs w:val="20"/>
              </w:rPr>
              <w:t>外壳的机械完整性丧失，导致开口不符合 ISO 20653 规定的IPXXB防护等级</w:t>
            </w:r>
          </w:p>
        </w:tc>
        <w:tc>
          <w:tcPr>
            <w:tcW w:w="1603" w:type="dxa"/>
            <w:vAlign w:val="center"/>
          </w:tcPr>
          <w:p>
            <w:pPr>
              <w:spacing w:line="276" w:lineRule="auto"/>
              <w:jc w:val="both"/>
              <w:rPr>
                <w:rFonts w:ascii="宋体" w:hAnsi="宋体"/>
                <w:sz w:val="20"/>
                <w:szCs w:val="20"/>
              </w:rPr>
            </w:pPr>
            <w:r>
              <w:rPr>
                <w:sz w:val="20"/>
                <w:szCs w:val="20"/>
              </w:rPr>
              <w:t>由事件产生或扩大的任何功能性电池组件的外壳开口，该开口足够大以致直径12mm 的试验指（IPXXB）能够穿过并与带电部件接触</w:t>
            </w:r>
          </w:p>
        </w:tc>
        <w:tc>
          <w:tcPr>
            <w:tcW w:w="1645" w:type="dxa"/>
            <w:vAlign w:val="center"/>
          </w:tcPr>
          <w:p>
            <w:pPr>
              <w:spacing w:line="276" w:lineRule="auto"/>
              <w:jc w:val="both"/>
              <w:rPr>
                <w:rFonts w:ascii="宋体" w:hAnsi="宋体"/>
                <w:sz w:val="20"/>
                <w:szCs w:val="20"/>
              </w:rPr>
            </w:pPr>
            <w:r>
              <w:rPr>
                <w:sz w:val="20"/>
                <w:szCs w:val="20"/>
              </w:rPr>
              <w:t>由事件产生或扩大的任何功能性电池组件的外壳开口，该开口足够大以致直径 12mm的试验指（IPXXB）能够穿过并与带电部件接触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pPr>
            <w:r>
              <w:rPr>
                <w:sz w:val="20"/>
                <w:szCs w:val="20"/>
              </w:rPr>
              <w:t>泄漏</w:t>
            </w:r>
          </w:p>
        </w:tc>
        <w:tc>
          <w:tcPr>
            <w:tcW w:w="1352" w:type="dxa"/>
            <w:vAlign w:val="center"/>
          </w:tcPr>
          <w:p>
            <w:pPr>
              <w:spacing w:line="276" w:lineRule="auto"/>
              <w:jc w:val="both"/>
              <w:rPr>
                <w:rFonts w:ascii="宋体" w:hAnsi="宋体"/>
                <w:sz w:val="20"/>
                <w:szCs w:val="20"/>
              </w:rPr>
            </w:pPr>
            <w:r>
              <w:rPr>
                <w:sz w:val="20"/>
                <w:szCs w:val="20"/>
              </w:rPr>
              <w:t>有可见物质从电池单体、模块、电池包或系统中漏出至试验对象外部的现象</w:t>
            </w:r>
          </w:p>
        </w:tc>
        <w:tc>
          <w:tcPr>
            <w:tcW w:w="1685" w:type="dxa"/>
            <w:vAlign w:val="center"/>
          </w:tcPr>
          <w:p>
            <w:pPr>
              <w:spacing w:line="276" w:lineRule="auto"/>
              <w:jc w:val="both"/>
              <w:rPr>
                <w:sz w:val="20"/>
                <w:szCs w:val="20"/>
              </w:rPr>
            </w:pPr>
            <w:r>
              <w:rPr>
                <w:sz w:val="20"/>
                <w:szCs w:val="20"/>
              </w:rPr>
              <w:t>液体电解质从除电芯防爆阀以外的部件(如外壳、密封部件和/或端子)泄漏</w:t>
            </w:r>
          </w:p>
        </w:tc>
        <w:tc>
          <w:tcPr>
            <w:tcW w:w="1504" w:type="dxa"/>
            <w:vAlign w:val="center"/>
          </w:tcPr>
          <w:p>
            <w:pPr>
              <w:spacing w:line="276" w:lineRule="auto"/>
              <w:jc w:val="both"/>
              <w:rPr>
                <w:sz w:val="20"/>
                <w:szCs w:val="20"/>
              </w:rPr>
            </w:pPr>
            <w:r>
              <w:rPr>
                <w:sz w:val="20"/>
                <w:szCs w:val="20"/>
              </w:rPr>
              <w:t>除排气外的液体或气体的泄漏</w:t>
            </w:r>
          </w:p>
        </w:tc>
        <w:tc>
          <w:tcPr>
            <w:tcW w:w="1603" w:type="dxa"/>
            <w:vAlign w:val="center"/>
          </w:tcPr>
          <w:p>
            <w:pPr>
              <w:spacing w:line="276" w:lineRule="auto"/>
              <w:jc w:val="both"/>
              <w:rPr>
                <w:sz w:val="20"/>
                <w:szCs w:val="20"/>
              </w:rPr>
            </w:pPr>
            <w:r>
              <w:rPr>
                <w:sz w:val="20"/>
                <w:szCs w:val="20"/>
              </w:rPr>
              <w:t>电解液以液体形式从可充电电能储存系统中排出</w:t>
            </w:r>
          </w:p>
        </w:tc>
        <w:tc>
          <w:tcPr>
            <w:tcW w:w="1645" w:type="dxa"/>
            <w:vAlign w:val="center"/>
          </w:tcPr>
          <w:p>
            <w:pPr>
              <w:spacing w:line="276" w:lineRule="auto"/>
              <w:jc w:val="both"/>
              <w:rPr>
                <w:sz w:val="20"/>
                <w:szCs w:val="20"/>
              </w:rPr>
            </w:pPr>
            <w:r>
              <w:rPr>
                <w:sz w:val="20"/>
                <w:szCs w:val="20"/>
              </w:rPr>
              <w:t>电解液以液体形式从可充电电能储存系统中排出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95" w:type="dxa"/>
            <w:vAlign w:val="center"/>
          </w:tcPr>
          <w:p>
            <w:pPr>
              <w:spacing w:line="276" w:lineRule="auto"/>
              <w:jc w:val="center"/>
              <w:rPr>
                <w:rFonts w:ascii="宋体" w:hAnsi="宋体"/>
                <w:sz w:val="20"/>
                <w:szCs w:val="20"/>
              </w:rPr>
            </w:pPr>
            <w:r>
              <w:rPr>
                <w:sz w:val="20"/>
                <w:szCs w:val="20"/>
              </w:rPr>
              <w:t>排气</w:t>
            </w:r>
          </w:p>
        </w:tc>
        <w:tc>
          <w:tcPr>
            <w:tcW w:w="1352" w:type="dxa"/>
            <w:vAlign w:val="center"/>
          </w:tcPr>
          <w:p>
            <w:pPr>
              <w:spacing w:line="276" w:lineRule="auto"/>
              <w:jc w:val="center"/>
              <w:rPr>
                <w:rFonts w:ascii="宋体" w:hAnsi="宋体"/>
                <w:sz w:val="20"/>
                <w:szCs w:val="20"/>
              </w:rPr>
            </w:pPr>
            <w:r>
              <w:rPr>
                <w:sz w:val="20"/>
                <w:szCs w:val="20"/>
              </w:rPr>
              <w:t>/</w:t>
            </w:r>
          </w:p>
        </w:tc>
        <w:tc>
          <w:tcPr>
            <w:tcW w:w="1685" w:type="dxa"/>
            <w:vAlign w:val="center"/>
          </w:tcPr>
          <w:p>
            <w:pPr>
              <w:spacing w:line="276" w:lineRule="auto"/>
              <w:jc w:val="both"/>
              <w:rPr>
                <w:sz w:val="20"/>
                <w:szCs w:val="20"/>
              </w:rPr>
            </w:pPr>
            <w:r>
              <w:rPr>
                <w:sz w:val="20"/>
                <w:szCs w:val="20"/>
              </w:rPr>
              <w:t>以防止破裂或爆炸的设计方式从</w:t>
            </w:r>
            <w:r>
              <w:rPr>
                <w:rFonts w:hint="eastAsia"/>
                <w:sz w:val="20"/>
                <w:szCs w:val="20"/>
              </w:rPr>
              <w:t>电池</w:t>
            </w:r>
            <w:r>
              <w:rPr>
                <w:sz w:val="20"/>
                <w:szCs w:val="20"/>
              </w:rPr>
              <w:t>中释放过多内部压力</w:t>
            </w:r>
          </w:p>
        </w:tc>
        <w:tc>
          <w:tcPr>
            <w:tcW w:w="1504" w:type="dxa"/>
            <w:vAlign w:val="center"/>
          </w:tcPr>
          <w:p>
            <w:pPr>
              <w:spacing w:line="276" w:lineRule="auto"/>
              <w:jc w:val="both"/>
              <w:rPr>
                <w:sz w:val="20"/>
                <w:szCs w:val="20"/>
              </w:rPr>
            </w:pPr>
            <w:r>
              <w:rPr>
                <w:sz w:val="20"/>
                <w:szCs w:val="20"/>
              </w:rPr>
              <w:t>以防止破裂或爆炸的设计方式从</w:t>
            </w:r>
            <w:r>
              <w:rPr>
                <w:rFonts w:hint="eastAsia"/>
                <w:sz w:val="20"/>
                <w:szCs w:val="20"/>
              </w:rPr>
              <w:t>电池</w:t>
            </w:r>
            <w:r>
              <w:rPr>
                <w:sz w:val="20"/>
                <w:szCs w:val="20"/>
              </w:rPr>
              <w:t>中释放过多内部压力</w:t>
            </w:r>
          </w:p>
        </w:tc>
        <w:tc>
          <w:tcPr>
            <w:tcW w:w="1603" w:type="dxa"/>
            <w:vAlign w:val="center"/>
          </w:tcPr>
          <w:p>
            <w:pPr>
              <w:spacing w:line="276" w:lineRule="auto"/>
              <w:jc w:val="both"/>
              <w:rPr>
                <w:sz w:val="20"/>
                <w:szCs w:val="20"/>
              </w:rPr>
            </w:pPr>
            <w:r>
              <w:rPr>
                <w:sz w:val="20"/>
                <w:szCs w:val="20"/>
              </w:rPr>
              <w:t>以防止破裂或爆炸的设计方式从</w:t>
            </w:r>
            <w:r>
              <w:rPr>
                <w:rFonts w:hint="eastAsia"/>
                <w:sz w:val="20"/>
                <w:szCs w:val="20"/>
              </w:rPr>
              <w:t>电池</w:t>
            </w:r>
            <w:r>
              <w:rPr>
                <w:sz w:val="20"/>
                <w:szCs w:val="20"/>
              </w:rPr>
              <w:t>中释放过多内部压力</w:t>
            </w:r>
          </w:p>
        </w:tc>
        <w:tc>
          <w:tcPr>
            <w:tcW w:w="1645" w:type="dxa"/>
            <w:vAlign w:val="center"/>
          </w:tcPr>
          <w:p>
            <w:pPr>
              <w:spacing w:line="276" w:lineRule="auto"/>
              <w:jc w:val="both"/>
              <w:rPr>
                <w:sz w:val="20"/>
                <w:szCs w:val="20"/>
              </w:rPr>
            </w:pPr>
            <w:r>
              <w:rPr>
                <w:sz w:val="20"/>
                <w:szCs w:val="20"/>
              </w:rPr>
              <w:t>以防止破裂或爆炸的设计方式从</w:t>
            </w:r>
            <w:r>
              <w:rPr>
                <w:rFonts w:hint="eastAsia"/>
                <w:sz w:val="20"/>
                <w:szCs w:val="20"/>
              </w:rPr>
              <w:t>电池</w:t>
            </w:r>
            <w:r>
              <w:rPr>
                <w:sz w:val="20"/>
                <w:szCs w:val="20"/>
              </w:rPr>
              <w:t>中释放过多内部压力</w:t>
            </w:r>
          </w:p>
        </w:tc>
      </w:tr>
    </w:tbl>
    <w:p>
      <w:pPr>
        <w:spacing w:line="360" w:lineRule="auto"/>
        <w:ind w:firstLine="420"/>
        <w:jc w:val="both"/>
        <w:rPr>
          <w:rFonts w:ascii="宋体" w:hAnsi="宋体"/>
        </w:rPr>
      </w:pPr>
      <w:r>
        <w:t>ISO 6469-1:2019</w:t>
      </w:r>
      <w:r>
        <w:rPr>
          <w:rFonts w:ascii="宋体" w:hAnsi="宋体"/>
        </w:rPr>
        <w:t>中泄露定义为除排气外的液体或气体的泄漏</w:t>
      </w:r>
      <w:r>
        <w:rPr>
          <w:rFonts w:hint="eastAsia" w:ascii="宋体" w:hAnsi="宋体"/>
        </w:rPr>
        <w:t>，</w:t>
      </w:r>
      <w:r>
        <w:t>IEC 62660-3:2022</w:t>
      </w:r>
      <w:r>
        <w:rPr>
          <w:rFonts w:ascii="宋体" w:hAnsi="宋体"/>
        </w:rPr>
        <w:t>中泄露定义液体电解质从电芯通风口以外的部件(如外壳、密封部件和/或端子)泄漏</w:t>
      </w:r>
      <w:r>
        <w:rPr>
          <w:rFonts w:hint="eastAsia" w:ascii="宋体" w:hAnsi="宋体"/>
        </w:rPr>
        <w:t>，</w:t>
      </w:r>
      <w:r>
        <w:t>GB 38031</w:t>
      </w:r>
      <w:r>
        <w:rPr>
          <w:rFonts w:hint="eastAsia"/>
          <w:lang w:eastAsia="zh-CN"/>
        </w:rPr>
        <w:t>—</w:t>
      </w:r>
      <w:r>
        <w:t>2020</w:t>
      </w:r>
      <w:r>
        <w:rPr>
          <w:rFonts w:ascii="宋体" w:hAnsi="宋体"/>
        </w:rPr>
        <w:t>中泄露的定义为有可见物质从电池单体、模块、电池包或系</w:t>
      </w:r>
      <w:r>
        <w:rPr>
          <w:rFonts w:hint="eastAsia" w:ascii="宋体" w:hAnsi="宋体"/>
        </w:rPr>
        <w:t>统中漏出至试验对象外部的现象</w:t>
      </w:r>
      <w:r>
        <w:rPr>
          <w:rFonts w:ascii="宋体" w:hAnsi="宋体"/>
        </w:rPr>
        <w:t>。</w:t>
      </w:r>
    </w:p>
    <w:p>
      <w:pPr>
        <w:spacing w:line="360" w:lineRule="auto"/>
        <w:ind w:firstLine="420"/>
        <w:jc w:val="both"/>
        <w:rPr>
          <w:rFonts w:ascii="宋体" w:hAnsi="宋体"/>
        </w:rPr>
      </w:pPr>
      <w:r>
        <w:t>ISO 6469-1:2019</w:t>
      </w:r>
      <w:r>
        <w:rPr>
          <w:rFonts w:hint="eastAsia"/>
        </w:rPr>
        <w:t>、</w:t>
      </w:r>
      <w:r>
        <w:t>IEC 62660-3:2022</w:t>
      </w:r>
      <w:r>
        <w:rPr>
          <w:rFonts w:hint="eastAsia"/>
        </w:rPr>
        <w:t>、</w:t>
      </w:r>
      <w:r>
        <w:t>EVS GTR，UN R100</w:t>
      </w:r>
      <w:r>
        <w:rPr>
          <w:rFonts w:hint="eastAsia" w:ascii="宋体" w:hAnsi="宋体"/>
        </w:rPr>
        <w:t xml:space="preserve">有排气定义， </w:t>
      </w:r>
      <w:r>
        <w:t>GB 38031</w:t>
      </w:r>
      <w:r>
        <w:rPr>
          <w:rFonts w:ascii="宋体" w:hAnsi="宋体"/>
        </w:rPr>
        <w:t>中无排气定义</w:t>
      </w:r>
      <w:r>
        <w:rPr>
          <w:rFonts w:hint="eastAsia" w:ascii="宋体" w:hAnsi="宋体"/>
        </w:rPr>
        <w:t>，但泄漏定义较国际标准更加宽泛，包含了国际标准中的排气概念。因此维持2020版要求不变，但增加可见物质应在不拆卸试验对象的情况下通过目视判断的注释。</w:t>
      </w:r>
    </w:p>
    <w:p>
      <w:pPr>
        <w:pStyle w:val="19"/>
        <w:numPr>
          <w:ilvl w:val="0"/>
          <w:numId w:val="7"/>
        </w:numPr>
        <w:spacing w:line="360" w:lineRule="auto"/>
        <w:jc w:val="both"/>
        <w:rPr>
          <w:rFonts w:ascii="宋体" w:hAnsi="宋体"/>
        </w:rPr>
      </w:pPr>
      <w:r>
        <w:rPr>
          <w:rFonts w:hint="eastAsia" w:ascii="宋体" w:hAnsi="宋体"/>
        </w:rPr>
        <w:t>一般试验条件</w:t>
      </w:r>
    </w:p>
    <w:p>
      <w:pPr>
        <w:spacing w:line="360" w:lineRule="auto"/>
        <w:ind w:firstLine="420"/>
        <w:jc w:val="both"/>
        <w:rPr>
          <w:rFonts w:ascii="宋体" w:hAnsi="宋体"/>
        </w:rPr>
      </w:pPr>
      <w:r>
        <w:rPr>
          <w:rFonts w:hint="eastAsia" w:ascii="宋体" w:hAnsi="宋体"/>
        </w:rPr>
        <w:t>一般试验条件为标准中对所有测试项目内容的常规性、统一性要求。国家标准</w:t>
      </w:r>
      <w:r>
        <w:t>GB 38031</w:t>
      </w:r>
      <w:r>
        <w:rPr>
          <w:rFonts w:hint="eastAsia"/>
          <w:lang w:eastAsia="zh-CN"/>
        </w:rPr>
        <w:t>—</w:t>
      </w:r>
      <w:r>
        <w:t>2020</w:t>
      </w:r>
      <w:r>
        <w:rPr>
          <w:rFonts w:ascii="宋体" w:hAnsi="宋体"/>
        </w:rPr>
        <w:t>、国际标准</w:t>
      </w:r>
      <w:r>
        <w:t>ISO 6469-1:2019、IEC 62660-3:2022</w:t>
      </w:r>
      <w:r>
        <w:rPr>
          <w:rFonts w:hint="eastAsia" w:ascii="宋体" w:hAnsi="宋体"/>
        </w:rPr>
        <w:t>等标准中均有描述。</w:t>
      </w:r>
    </w:p>
    <w:p>
      <w:pPr>
        <w:spacing w:line="360" w:lineRule="auto"/>
        <w:ind w:firstLine="420"/>
        <w:rPr>
          <w:rFonts w:ascii="宋体" w:hAnsi="宋体"/>
        </w:rPr>
      </w:pPr>
      <w:r>
        <w:rPr>
          <w:rFonts w:hint="eastAsia" w:ascii="宋体" w:hAnsi="宋体"/>
        </w:rPr>
        <w:t>1）一般环境条件</w:t>
      </w:r>
    </w:p>
    <w:p>
      <w:pPr>
        <w:spacing w:line="360" w:lineRule="auto"/>
        <w:ind w:firstLine="400"/>
        <w:jc w:val="center"/>
        <w:rPr>
          <w:sz w:val="20"/>
        </w:rPr>
      </w:pPr>
      <w:r>
        <w:rPr>
          <w:rFonts w:hint="eastAsia"/>
          <w:sz w:val="20"/>
        </w:rPr>
        <w:t>表</w:t>
      </w:r>
      <w:r>
        <w:rPr>
          <w:sz w:val="20"/>
        </w:rPr>
        <w:t>8</w:t>
      </w:r>
      <w:r>
        <w:rPr>
          <w:rFonts w:hint="eastAsia"/>
          <w:sz w:val="20"/>
        </w:rPr>
        <w:t>：一般环境条件对比</w:t>
      </w:r>
    </w:p>
    <w:tbl>
      <w:tblPr>
        <w:tblStyle w:val="10"/>
        <w:tblpPr w:leftFromText="180" w:rightFromText="180" w:vertAnchor="text" w:horzAnchor="margin" w:tblpY="323"/>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1605"/>
        <w:gridCol w:w="1559"/>
        <w:gridCol w:w="1559"/>
        <w:gridCol w:w="1435"/>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42" w:type="dxa"/>
            <w:vAlign w:val="center"/>
          </w:tcPr>
          <w:p>
            <w:pPr>
              <w:spacing w:line="276" w:lineRule="auto"/>
              <w:jc w:val="center"/>
              <w:rPr>
                <w:rFonts w:ascii="宋体" w:hAnsi="宋体"/>
                <w:sz w:val="20"/>
                <w:szCs w:val="20"/>
              </w:rPr>
            </w:pPr>
            <w:r>
              <w:rPr>
                <w:rFonts w:hint="eastAsia" w:ascii="宋体" w:hAnsi="宋体"/>
                <w:sz w:val="20"/>
                <w:szCs w:val="20"/>
              </w:rPr>
              <w:t>标准</w:t>
            </w:r>
          </w:p>
        </w:tc>
        <w:tc>
          <w:tcPr>
            <w:tcW w:w="1605" w:type="dxa"/>
            <w:vAlign w:val="center"/>
          </w:tcPr>
          <w:p>
            <w:pPr>
              <w:spacing w:line="276" w:lineRule="auto"/>
              <w:jc w:val="center"/>
              <w:rPr>
                <w:sz w:val="20"/>
              </w:rPr>
            </w:pPr>
            <w:r>
              <w:rPr>
                <w:sz w:val="20"/>
              </w:rPr>
              <w:t>GB 38031</w:t>
            </w:r>
            <w:r>
              <w:rPr>
                <w:rFonts w:hint="eastAsia"/>
                <w:sz w:val="20"/>
                <w:lang w:eastAsia="zh-CN"/>
              </w:rPr>
              <w:t>—</w:t>
            </w:r>
            <w:r>
              <w:rPr>
                <w:sz w:val="20"/>
              </w:rPr>
              <w:t>2020</w:t>
            </w:r>
          </w:p>
        </w:tc>
        <w:tc>
          <w:tcPr>
            <w:tcW w:w="1559" w:type="dxa"/>
            <w:vAlign w:val="center"/>
          </w:tcPr>
          <w:p>
            <w:pPr>
              <w:spacing w:line="276" w:lineRule="auto"/>
              <w:jc w:val="center"/>
              <w:rPr>
                <w:sz w:val="20"/>
              </w:rPr>
            </w:pPr>
            <w:r>
              <w:rPr>
                <w:sz w:val="20"/>
              </w:rPr>
              <w:t>ISO 6469-1:2019</w:t>
            </w:r>
          </w:p>
        </w:tc>
        <w:tc>
          <w:tcPr>
            <w:tcW w:w="1559" w:type="dxa"/>
            <w:vAlign w:val="center"/>
          </w:tcPr>
          <w:p>
            <w:pPr>
              <w:spacing w:line="276" w:lineRule="auto"/>
              <w:jc w:val="center"/>
              <w:rPr>
                <w:sz w:val="20"/>
              </w:rPr>
            </w:pPr>
            <w:r>
              <w:rPr>
                <w:sz w:val="20"/>
              </w:rPr>
              <w:t>IEC 62660-3:2022</w:t>
            </w:r>
          </w:p>
        </w:tc>
        <w:tc>
          <w:tcPr>
            <w:tcW w:w="1435" w:type="dxa"/>
            <w:vAlign w:val="center"/>
          </w:tcPr>
          <w:p>
            <w:pPr>
              <w:spacing w:line="276" w:lineRule="auto"/>
              <w:jc w:val="center"/>
              <w:rPr>
                <w:sz w:val="20"/>
              </w:rPr>
            </w:pPr>
            <w:r>
              <w:rPr>
                <w:sz w:val="20"/>
              </w:rPr>
              <w:t>EVS GTR</w:t>
            </w:r>
          </w:p>
        </w:tc>
        <w:tc>
          <w:tcPr>
            <w:tcW w:w="0" w:type="auto"/>
            <w:vAlign w:val="center"/>
          </w:tcPr>
          <w:p>
            <w:pPr>
              <w:spacing w:line="276" w:lineRule="auto"/>
              <w:jc w:val="center"/>
              <w:rPr>
                <w:sz w:val="20"/>
              </w:rPr>
            </w:pPr>
            <w:r>
              <w:rPr>
                <w:sz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42" w:type="dxa"/>
            <w:vAlign w:val="center"/>
          </w:tcPr>
          <w:p>
            <w:pPr>
              <w:spacing w:line="276" w:lineRule="auto"/>
              <w:jc w:val="center"/>
              <w:rPr>
                <w:sz w:val="20"/>
                <w:szCs w:val="20"/>
              </w:rPr>
            </w:pPr>
            <w:r>
              <w:rPr>
                <w:sz w:val="20"/>
                <w:szCs w:val="20"/>
              </w:rPr>
              <w:t>试验环境温度</w:t>
            </w:r>
          </w:p>
        </w:tc>
        <w:tc>
          <w:tcPr>
            <w:tcW w:w="1605" w:type="dxa"/>
            <w:vAlign w:val="center"/>
          </w:tcPr>
          <w:p>
            <w:pPr>
              <w:spacing w:line="276" w:lineRule="auto"/>
              <w:rPr>
                <w:sz w:val="20"/>
                <w:szCs w:val="20"/>
              </w:rPr>
            </w:pPr>
            <w:r>
              <w:rPr>
                <w:rFonts w:hint="eastAsia"/>
                <w:sz w:val="20"/>
                <w:szCs w:val="20"/>
              </w:rPr>
              <w:t>一般项目：</w:t>
            </w:r>
            <w:r>
              <w:rPr>
                <w:sz w:val="20"/>
                <w:szCs w:val="20"/>
              </w:rPr>
              <w:t>22℃±5℃</w:t>
            </w:r>
          </w:p>
        </w:tc>
        <w:tc>
          <w:tcPr>
            <w:tcW w:w="1559" w:type="dxa"/>
            <w:vAlign w:val="center"/>
          </w:tcPr>
          <w:p>
            <w:pPr>
              <w:spacing w:line="276" w:lineRule="auto"/>
              <w:rPr>
                <w:sz w:val="20"/>
                <w:szCs w:val="20"/>
              </w:rPr>
            </w:pPr>
            <w:r>
              <w:rPr>
                <w:rFonts w:hint="eastAsia"/>
                <w:sz w:val="20"/>
                <w:szCs w:val="20"/>
              </w:rPr>
              <w:t>一般项目：</w:t>
            </w:r>
            <w:r>
              <w:rPr>
                <w:sz w:val="20"/>
                <w:szCs w:val="20"/>
              </w:rPr>
              <w:t>25±2℃</w:t>
            </w:r>
            <w:r>
              <w:rPr>
                <w:rFonts w:hint="eastAsia"/>
                <w:sz w:val="20"/>
                <w:szCs w:val="20"/>
              </w:rPr>
              <w:t>；</w:t>
            </w:r>
          </w:p>
        </w:tc>
        <w:tc>
          <w:tcPr>
            <w:tcW w:w="1559" w:type="dxa"/>
            <w:vAlign w:val="center"/>
          </w:tcPr>
          <w:p>
            <w:pPr>
              <w:spacing w:line="276" w:lineRule="auto"/>
              <w:rPr>
                <w:sz w:val="20"/>
                <w:szCs w:val="20"/>
              </w:rPr>
            </w:pPr>
            <w:r>
              <w:rPr>
                <w:sz w:val="20"/>
                <w:szCs w:val="20"/>
              </w:rPr>
              <w:t>25℃±2℃</w:t>
            </w:r>
          </w:p>
        </w:tc>
        <w:tc>
          <w:tcPr>
            <w:tcW w:w="2630" w:type="dxa"/>
            <w:gridSpan w:val="2"/>
            <w:vAlign w:val="center"/>
          </w:tcPr>
          <w:p>
            <w:pPr>
              <w:spacing w:line="276" w:lineRule="auto"/>
              <w:rPr>
                <w:sz w:val="20"/>
                <w:szCs w:val="20"/>
              </w:rPr>
            </w:pPr>
            <w:r>
              <w:rPr>
                <w:sz w:val="20"/>
              </w:rPr>
              <w:t>SOC</w:t>
            </w:r>
            <w:r>
              <w:rPr>
                <w:sz w:val="20"/>
                <w:szCs w:val="20"/>
              </w:rPr>
              <w:t>调整、振动</w:t>
            </w:r>
            <w:r>
              <w:rPr>
                <w:rFonts w:hint="eastAsia"/>
                <w:sz w:val="20"/>
                <w:szCs w:val="20"/>
              </w:rPr>
              <w:t>：</w:t>
            </w:r>
            <w:r>
              <w:rPr>
                <w:sz w:val="20"/>
              </w:rPr>
              <w:t>22℃±5</w:t>
            </w:r>
            <w:r>
              <w:rPr>
                <w:sz w:val="20"/>
                <w:szCs w:val="20"/>
              </w:rPr>
              <w:t>℃；</w:t>
            </w:r>
          </w:p>
          <w:p>
            <w:pPr>
              <w:spacing w:line="276" w:lineRule="auto"/>
              <w:rPr>
                <w:sz w:val="20"/>
                <w:szCs w:val="20"/>
              </w:rPr>
            </w:pPr>
            <w:r>
              <w:rPr>
                <w:sz w:val="20"/>
                <w:szCs w:val="20"/>
              </w:rPr>
              <w:t>火烧：0℃以上</w:t>
            </w:r>
            <w:r>
              <w:rPr>
                <w:rFonts w:hint="eastAsia"/>
                <w:sz w:val="20"/>
                <w:szCs w:val="20"/>
              </w:rPr>
              <w:t>；</w:t>
            </w:r>
          </w:p>
          <w:p>
            <w:pPr>
              <w:spacing w:line="276" w:lineRule="auto"/>
              <w:rPr>
                <w:sz w:val="20"/>
                <w:szCs w:val="20"/>
              </w:rPr>
            </w:pPr>
            <w:r>
              <w:rPr>
                <w:sz w:val="20"/>
                <w:szCs w:val="20"/>
              </w:rPr>
              <w:t>其他项目：20±10℃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42" w:type="dxa"/>
            <w:vAlign w:val="center"/>
          </w:tcPr>
          <w:p>
            <w:pPr>
              <w:spacing w:line="276" w:lineRule="auto"/>
              <w:jc w:val="center"/>
              <w:rPr>
                <w:sz w:val="20"/>
                <w:szCs w:val="20"/>
              </w:rPr>
            </w:pPr>
            <w:r>
              <w:rPr>
                <w:sz w:val="20"/>
                <w:szCs w:val="20"/>
              </w:rPr>
              <w:t>湿度</w:t>
            </w:r>
          </w:p>
        </w:tc>
        <w:tc>
          <w:tcPr>
            <w:tcW w:w="1605" w:type="dxa"/>
            <w:vAlign w:val="center"/>
          </w:tcPr>
          <w:p>
            <w:pPr>
              <w:spacing w:line="276" w:lineRule="auto"/>
              <w:rPr>
                <w:sz w:val="20"/>
                <w:szCs w:val="20"/>
              </w:rPr>
            </w:pPr>
            <w:r>
              <w:rPr>
                <w:sz w:val="20"/>
                <w:szCs w:val="20"/>
              </w:rPr>
              <w:t>10%~90%</w:t>
            </w:r>
          </w:p>
        </w:tc>
        <w:tc>
          <w:tcPr>
            <w:tcW w:w="1559" w:type="dxa"/>
            <w:vAlign w:val="center"/>
          </w:tcPr>
          <w:p>
            <w:pPr>
              <w:spacing w:line="276" w:lineRule="auto"/>
              <w:rPr>
                <w:sz w:val="20"/>
                <w:szCs w:val="20"/>
              </w:rPr>
            </w:pPr>
            <w:r>
              <w:rPr>
                <w:sz w:val="20"/>
                <w:szCs w:val="20"/>
              </w:rPr>
              <w:t>/</w:t>
            </w:r>
          </w:p>
        </w:tc>
        <w:tc>
          <w:tcPr>
            <w:tcW w:w="1559" w:type="dxa"/>
            <w:vAlign w:val="center"/>
          </w:tcPr>
          <w:p>
            <w:pPr>
              <w:spacing w:line="276" w:lineRule="auto"/>
              <w:rPr>
                <w:sz w:val="20"/>
                <w:szCs w:val="20"/>
              </w:rPr>
            </w:pPr>
            <w:r>
              <w:rPr>
                <w:sz w:val="20"/>
                <w:szCs w:val="20"/>
              </w:rPr>
              <w:t>/</w:t>
            </w:r>
          </w:p>
        </w:tc>
        <w:tc>
          <w:tcPr>
            <w:tcW w:w="1435" w:type="dxa"/>
            <w:vAlign w:val="center"/>
          </w:tcPr>
          <w:p>
            <w:pPr>
              <w:spacing w:line="276" w:lineRule="auto"/>
              <w:rPr>
                <w:sz w:val="20"/>
                <w:szCs w:val="20"/>
              </w:rPr>
            </w:pPr>
            <w:r>
              <w:rPr>
                <w:sz w:val="20"/>
                <w:szCs w:val="20"/>
              </w:rPr>
              <w:t>/</w:t>
            </w:r>
          </w:p>
        </w:tc>
        <w:tc>
          <w:tcPr>
            <w:tcW w:w="0" w:type="auto"/>
            <w:vAlign w:val="center"/>
          </w:tcPr>
          <w:p>
            <w:pPr>
              <w:spacing w:line="276" w:lineRule="auto"/>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942" w:type="dxa"/>
            <w:vAlign w:val="center"/>
          </w:tcPr>
          <w:p>
            <w:pPr>
              <w:spacing w:line="276" w:lineRule="auto"/>
              <w:jc w:val="center"/>
              <w:rPr>
                <w:sz w:val="20"/>
                <w:szCs w:val="20"/>
              </w:rPr>
            </w:pPr>
            <w:r>
              <w:rPr>
                <w:sz w:val="20"/>
                <w:szCs w:val="20"/>
              </w:rPr>
              <w:t>大气压力</w:t>
            </w:r>
          </w:p>
        </w:tc>
        <w:tc>
          <w:tcPr>
            <w:tcW w:w="1605" w:type="dxa"/>
            <w:vAlign w:val="center"/>
          </w:tcPr>
          <w:p>
            <w:pPr>
              <w:spacing w:line="276" w:lineRule="auto"/>
              <w:rPr>
                <w:sz w:val="20"/>
                <w:szCs w:val="20"/>
              </w:rPr>
            </w:pPr>
            <w:r>
              <w:rPr>
                <w:sz w:val="20"/>
                <w:szCs w:val="20"/>
              </w:rPr>
              <w:t>86kPa~106kPa</w:t>
            </w:r>
          </w:p>
        </w:tc>
        <w:tc>
          <w:tcPr>
            <w:tcW w:w="1559" w:type="dxa"/>
            <w:vAlign w:val="center"/>
          </w:tcPr>
          <w:p>
            <w:pPr>
              <w:spacing w:line="276" w:lineRule="auto"/>
              <w:rPr>
                <w:sz w:val="20"/>
                <w:szCs w:val="20"/>
              </w:rPr>
            </w:pPr>
            <w:r>
              <w:rPr>
                <w:sz w:val="20"/>
                <w:szCs w:val="20"/>
              </w:rPr>
              <w:t>/</w:t>
            </w:r>
          </w:p>
        </w:tc>
        <w:tc>
          <w:tcPr>
            <w:tcW w:w="1559" w:type="dxa"/>
            <w:vAlign w:val="center"/>
          </w:tcPr>
          <w:p>
            <w:pPr>
              <w:spacing w:line="276" w:lineRule="auto"/>
              <w:rPr>
                <w:sz w:val="20"/>
                <w:szCs w:val="20"/>
              </w:rPr>
            </w:pPr>
            <w:r>
              <w:rPr>
                <w:sz w:val="20"/>
                <w:szCs w:val="20"/>
              </w:rPr>
              <w:t>/</w:t>
            </w:r>
          </w:p>
        </w:tc>
        <w:tc>
          <w:tcPr>
            <w:tcW w:w="1435" w:type="dxa"/>
            <w:vAlign w:val="center"/>
          </w:tcPr>
          <w:p>
            <w:pPr>
              <w:spacing w:line="276" w:lineRule="auto"/>
              <w:rPr>
                <w:sz w:val="20"/>
                <w:szCs w:val="20"/>
              </w:rPr>
            </w:pPr>
            <w:r>
              <w:rPr>
                <w:sz w:val="20"/>
                <w:szCs w:val="20"/>
              </w:rPr>
              <w:t>/</w:t>
            </w:r>
          </w:p>
        </w:tc>
        <w:tc>
          <w:tcPr>
            <w:tcW w:w="0" w:type="auto"/>
            <w:vAlign w:val="center"/>
          </w:tcPr>
          <w:p>
            <w:pPr>
              <w:spacing w:line="276" w:lineRule="auto"/>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942" w:type="dxa"/>
            <w:vAlign w:val="center"/>
          </w:tcPr>
          <w:p>
            <w:pPr>
              <w:spacing w:line="276" w:lineRule="auto"/>
              <w:jc w:val="center"/>
              <w:rPr>
                <w:sz w:val="20"/>
                <w:szCs w:val="20"/>
              </w:rPr>
            </w:pPr>
            <w:r>
              <w:rPr>
                <w:sz w:val="20"/>
                <w:szCs w:val="20"/>
              </w:rPr>
              <w:t>风速</w:t>
            </w:r>
          </w:p>
        </w:tc>
        <w:tc>
          <w:tcPr>
            <w:tcW w:w="1605" w:type="dxa"/>
            <w:vAlign w:val="center"/>
          </w:tcPr>
          <w:p>
            <w:pPr>
              <w:spacing w:line="276" w:lineRule="auto"/>
              <w:rPr>
                <w:sz w:val="20"/>
                <w:szCs w:val="20"/>
              </w:rPr>
            </w:pPr>
            <w:r>
              <w:rPr>
                <w:rFonts w:hint="eastAsia"/>
                <w:sz w:val="20"/>
                <w:szCs w:val="20"/>
              </w:rPr>
              <w:t>火烧及热扩散：风速小于等于</w:t>
            </w:r>
            <w:r>
              <w:rPr>
                <w:sz w:val="20"/>
                <w:szCs w:val="20"/>
              </w:rPr>
              <w:t>2</w:t>
            </w:r>
            <w:r>
              <w:rPr>
                <w:rFonts w:hint="eastAsia"/>
                <w:sz w:val="20"/>
                <w:szCs w:val="20"/>
              </w:rPr>
              <w:t>.5</w:t>
            </w:r>
            <w:r>
              <w:rPr>
                <w:sz w:val="20"/>
                <w:szCs w:val="20"/>
              </w:rPr>
              <w:t>km/h</w:t>
            </w:r>
          </w:p>
        </w:tc>
        <w:tc>
          <w:tcPr>
            <w:tcW w:w="1559" w:type="dxa"/>
            <w:vAlign w:val="center"/>
          </w:tcPr>
          <w:p>
            <w:pPr>
              <w:spacing w:line="276" w:lineRule="auto"/>
              <w:rPr>
                <w:sz w:val="20"/>
                <w:szCs w:val="20"/>
              </w:rPr>
            </w:pPr>
            <w:r>
              <w:rPr>
                <w:rFonts w:hint="eastAsia"/>
                <w:sz w:val="20"/>
                <w:szCs w:val="20"/>
              </w:rPr>
              <w:t>火烧：风速小于等于</w:t>
            </w:r>
            <w:r>
              <w:rPr>
                <w:sz w:val="20"/>
                <w:szCs w:val="20"/>
              </w:rPr>
              <w:t>2</w:t>
            </w:r>
            <w:r>
              <w:rPr>
                <w:rFonts w:hint="eastAsia"/>
                <w:sz w:val="20"/>
                <w:szCs w:val="20"/>
              </w:rPr>
              <w:t>.5</w:t>
            </w:r>
            <w:r>
              <w:rPr>
                <w:sz w:val="20"/>
                <w:szCs w:val="20"/>
              </w:rPr>
              <w:t>km/h</w:t>
            </w:r>
          </w:p>
        </w:tc>
        <w:tc>
          <w:tcPr>
            <w:tcW w:w="1559" w:type="dxa"/>
            <w:vAlign w:val="center"/>
          </w:tcPr>
          <w:p>
            <w:pPr>
              <w:spacing w:line="276" w:lineRule="auto"/>
              <w:rPr>
                <w:sz w:val="20"/>
                <w:szCs w:val="20"/>
              </w:rPr>
            </w:pPr>
            <w:r>
              <w:rPr>
                <w:sz w:val="20"/>
                <w:szCs w:val="20"/>
              </w:rPr>
              <w:t>/</w:t>
            </w:r>
          </w:p>
        </w:tc>
        <w:tc>
          <w:tcPr>
            <w:tcW w:w="1435" w:type="dxa"/>
            <w:vAlign w:val="center"/>
          </w:tcPr>
          <w:p>
            <w:pPr>
              <w:spacing w:line="276" w:lineRule="auto"/>
              <w:rPr>
                <w:sz w:val="20"/>
                <w:szCs w:val="20"/>
              </w:rPr>
            </w:pPr>
            <w:r>
              <w:rPr>
                <w:sz w:val="20"/>
                <w:szCs w:val="20"/>
              </w:rPr>
              <w:t>/</w:t>
            </w:r>
          </w:p>
        </w:tc>
        <w:tc>
          <w:tcPr>
            <w:tcW w:w="0" w:type="auto"/>
            <w:vAlign w:val="center"/>
          </w:tcPr>
          <w:p>
            <w:pPr>
              <w:spacing w:line="276" w:lineRule="auto"/>
              <w:rPr>
                <w:sz w:val="20"/>
                <w:szCs w:val="20"/>
              </w:rPr>
            </w:pPr>
            <w:r>
              <w:rPr>
                <w:sz w:val="20"/>
                <w:szCs w:val="20"/>
              </w:rPr>
              <w:t>/</w:t>
            </w:r>
          </w:p>
        </w:tc>
      </w:tr>
    </w:tbl>
    <w:p>
      <w:pPr>
        <w:spacing w:line="360" w:lineRule="auto"/>
        <w:ind w:firstLine="420"/>
        <w:jc w:val="both"/>
        <w:rPr>
          <w:rFonts w:ascii="宋体" w:hAnsi="宋体"/>
        </w:rPr>
      </w:pPr>
      <w:r>
        <w:rPr>
          <w:rFonts w:hint="eastAsia" w:ascii="宋体" w:hAnsi="宋体"/>
        </w:rPr>
        <w:t>我国标准对除有特殊规定的项目外，对试验环境温度、相对湿度、大气压力三个条件提出限制条件，同时在火烧、热扩散项目中描述对风速也提出了限制条件。I</w:t>
      </w:r>
      <w:r>
        <w:rPr>
          <w:rFonts w:ascii="宋体" w:hAnsi="宋体"/>
        </w:rPr>
        <w:t>SO 6469-1</w:t>
      </w:r>
      <w:r>
        <w:rPr>
          <w:rFonts w:hint="eastAsia" w:ascii="宋体" w:hAnsi="宋体"/>
        </w:rPr>
        <w:t>对试验环境温度及火烧测试温度提出限制。其余国际标准均仅对测试环境温度提出限制。其中我国标准的试验环境温度范围比国际标准的允许范围更大。经过如下几点评估，认为该温度范围对测试结果无影响。一是对电池包荷电状态影响较大的前置充电步骤均在具备环境箱的台架中完成，确保了样品试验前状态的一致性。二</w:t>
      </w:r>
      <w:r>
        <w:rPr>
          <w:rFonts w:ascii="宋体" w:hAnsi="宋体"/>
        </w:rPr>
        <w:t>是此温度范围对于现场实际环境条件更容易实现，过窄的温度区间对现场温度控制从空调变为环境箱，但大能</w:t>
      </w:r>
      <w:r>
        <w:rPr>
          <w:rFonts w:hint="eastAsia" w:ascii="宋体" w:hAnsi="宋体"/>
        </w:rPr>
        <w:t>量的电池包</w:t>
      </w:r>
      <w:r>
        <w:rPr>
          <w:rFonts w:ascii="宋体" w:hAnsi="宋体"/>
        </w:rPr>
        <w:t>/电池系统出现试验失败的情况可能造成更严重的安全风险。</w:t>
      </w:r>
      <w:r>
        <w:rPr>
          <w:rFonts w:hint="eastAsia" w:ascii="宋体" w:hAnsi="宋体"/>
        </w:rPr>
        <w:t>因此，不对试验环境温度范围进行修改。</w:t>
      </w:r>
    </w:p>
    <w:p>
      <w:pPr>
        <w:spacing w:line="360" w:lineRule="auto"/>
        <w:ind w:firstLine="420"/>
        <w:jc w:val="both"/>
        <w:rPr>
          <w:rFonts w:ascii="宋体" w:hAnsi="宋体"/>
        </w:rPr>
      </w:pPr>
      <w:r>
        <w:rPr>
          <w:rFonts w:ascii="宋体" w:hAnsi="宋体"/>
        </w:rPr>
        <w:t>2</w:t>
      </w:r>
      <w:r>
        <w:rPr>
          <w:rFonts w:hint="eastAsia" w:ascii="宋体" w:hAnsi="宋体"/>
        </w:rPr>
        <w:t>）其他一般条件</w:t>
      </w:r>
    </w:p>
    <w:p>
      <w:pPr>
        <w:spacing w:line="360" w:lineRule="auto"/>
        <w:ind w:firstLine="420"/>
        <w:jc w:val="both"/>
        <w:rPr>
          <w:rFonts w:ascii="宋体" w:hAnsi="宋体"/>
          <w:szCs w:val="21"/>
        </w:rPr>
      </w:pPr>
      <w:r>
        <w:rPr>
          <w:rFonts w:hint="eastAsia" w:ascii="宋体" w:hAnsi="宋体"/>
          <w:szCs w:val="21"/>
        </w:rPr>
        <w:t>a</w:t>
      </w:r>
      <w:r>
        <w:rPr>
          <w:rFonts w:ascii="宋体" w:hAnsi="宋体"/>
          <w:szCs w:val="21"/>
        </w:rPr>
        <w:t xml:space="preserve">) </w:t>
      </w:r>
      <w:r>
        <w:rPr>
          <w:szCs w:val="21"/>
        </w:rPr>
        <w:t>GB 38031</w:t>
      </w:r>
      <w:r>
        <w:rPr>
          <w:rFonts w:hint="eastAsia"/>
          <w:szCs w:val="21"/>
          <w:lang w:eastAsia="zh-CN"/>
        </w:rPr>
        <w:t>—</w:t>
      </w:r>
      <w:r>
        <w:rPr>
          <w:szCs w:val="21"/>
        </w:rPr>
        <w:t>2020</w:t>
      </w:r>
      <w:r>
        <w:rPr>
          <w:rFonts w:hint="eastAsia" w:ascii="宋体" w:hAnsi="宋体"/>
          <w:szCs w:val="21"/>
        </w:rPr>
        <w:t>中</w:t>
      </w:r>
      <w:r>
        <w:rPr>
          <w:szCs w:val="21"/>
        </w:rPr>
        <w:t>6.1.4</w:t>
      </w:r>
      <w:r>
        <w:rPr>
          <w:rFonts w:ascii="宋体" w:hAnsi="宋体"/>
          <w:szCs w:val="21"/>
        </w:rPr>
        <w:t>规定，电池系统试验交付需要包括必要的操作文件以及与设备相连的接口配件，提供安全工作限值。</w:t>
      </w:r>
      <w:r>
        <w:rPr>
          <w:szCs w:val="21"/>
        </w:rPr>
        <w:t>ISO 6469-1:2019</w:t>
      </w:r>
      <w:r>
        <w:rPr>
          <w:rFonts w:ascii="宋体" w:hAnsi="宋体"/>
          <w:szCs w:val="21"/>
        </w:rPr>
        <w:t>中对于测试使用的文件定义和配件提出了由供应商提供至实验室相同的要求，同时强调了被测电池系统应具备与测试设备总线通信的能力以及额外配备的传感器、导线和夹具不能影响试验预期目的的结果。</w:t>
      </w:r>
      <w:r>
        <w:rPr>
          <w:rFonts w:hint="eastAsia" w:ascii="宋体" w:hAnsi="宋体"/>
          <w:szCs w:val="21"/>
        </w:rPr>
        <w:t>对此，本着与国际标准协调的原则，增加“</w:t>
      </w:r>
      <w:r>
        <w:rPr>
          <w:rFonts w:ascii="宋体" w:hAnsi="宋体"/>
          <w:szCs w:val="21"/>
        </w:rPr>
        <w:t>额外配备的传感器、导线和夹具</w:t>
      </w:r>
      <w:r>
        <w:rPr>
          <w:rFonts w:hint="eastAsia" w:ascii="宋体" w:hAnsi="宋体"/>
          <w:szCs w:val="21"/>
        </w:rPr>
        <w:t>应不</w:t>
      </w:r>
      <w:r>
        <w:rPr>
          <w:rFonts w:ascii="宋体" w:hAnsi="宋体"/>
          <w:szCs w:val="21"/>
        </w:rPr>
        <w:t>影响试验结果</w:t>
      </w:r>
      <w:r>
        <w:rPr>
          <w:rFonts w:hint="eastAsia" w:ascii="宋体" w:hAnsi="宋体"/>
          <w:szCs w:val="21"/>
        </w:rPr>
        <w:t>”的描述</w:t>
      </w:r>
      <w:r>
        <w:rPr>
          <w:rFonts w:ascii="宋体" w:hAnsi="宋体"/>
          <w:szCs w:val="21"/>
        </w:rPr>
        <w:t>。</w:t>
      </w:r>
    </w:p>
    <w:p>
      <w:pPr>
        <w:spacing w:line="360" w:lineRule="auto"/>
        <w:ind w:firstLine="420"/>
        <w:jc w:val="both"/>
        <w:rPr>
          <w:rFonts w:ascii="宋体" w:hAnsi="宋体"/>
          <w:szCs w:val="21"/>
        </w:rPr>
      </w:pPr>
      <w:r>
        <w:rPr>
          <w:rFonts w:hint="eastAsia" w:ascii="宋体" w:hAnsi="宋体"/>
          <w:szCs w:val="21"/>
        </w:rPr>
        <w:t>b</w:t>
      </w:r>
      <w:r>
        <w:rPr>
          <w:rFonts w:ascii="宋体" w:hAnsi="宋体"/>
          <w:szCs w:val="21"/>
        </w:rPr>
        <w:t xml:space="preserve">) </w:t>
      </w:r>
      <w:r>
        <w:rPr>
          <w:szCs w:val="21"/>
        </w:rPr>
        <w:t>GB 38031</w:t>
      </w:r>
      <w:r>
        <w:rPr>
          <w:rFonts w:hint="eastAsia"/>
          <w:szCs w:val="21"/>
          <w:lang w:eastAsia="zh-CN"/>
        </w:rPr>
        <w:t>—</w:t>
      </w:r>
      <w:r>
        <w:rPr>
          <w:szCs w:val="21"/>
        </w:rPr>
        <w:t>2020</w:t>
      </w:r>
      <w:r>
        <w:rPr>
          <w:rFonts w:ascii="宋体" w:hAnsi="宋体"/>
          <w:szCs w:val="21"/>
        </w:rPr>
        <w:t>中</w:t>
      </w:r>
      <w:r>
        <w:rPr>
          <w:szCs w:val="21"/>
        </w:rPr>
        <w:t>6.1.9</w:t>
      </w:r>
      <w:r>
        <w:rPr>
          <w:rFonts w:ascii="宋体" w:hAnsi="宋体"/>
          <w:szCs w:val="21"/>
        </w:rPr>
        <w:t>规定“电池单体、电池包或系统的额定容量应符合制造商提供的产品技术条件。”其他国际标准中未对样品容量结果有具体要求，规定的充放电</w:t>
      </w:r>
      <w:r>
        <w:rPr>
          <w:rFonts w:hint="eastAsia" w:ascii="宋体" w:hAnsi="宋体"/>
          <w:szCs w:val="21"/>
        </w:rPr>
        <w:t>步骤</w:t>
      </w:r>
      <w:r>
        <w:rPr>
          <w:rFonts w:ascii="宋体" w:hAnsi="宋体"/>
          <w:szCs w:val="21"/>
        </w:rPr>
        <w:t>仅作为试验前后样品充放电功能检查确认的依</w:t>
      </w:r>
      <w:r>
        <w:rPr>
          <w:rFonts w:ascii="宋体" w:hAnsi="宋体"/>
        </w:rPr>
        <w:t>据；而标准中额定容量的定义是“以制造商规定的条件测得的并由制造商申明的电池单体、模块、电池包或系统的容量值”</w:t>
      </w:r>
      <w:r>
        <w:rPr>
          <w:rFonts w:hint="eastAsia" w:ascii="宋体" w:hAnsi="宋体"/>
        </w:rPr>
        <w:t>，该</w:t>
      </w:r>
      <w:r>
        <w:rPr>
          <w:rFonts w:hint="eastAsia" w:ascii="宋体" w:hAnsi="宋体"/>
          <w:szCs w:val="21"/>
        </w:rPr>
        <w:t>表述</w:t>
      </w:r>
      <w:r>
        <w:rPr>
          <w:rFonts w:ascii="宋体" w:hAnsi="宋体"/>
          <w:szCs w:val="21"/>
        </w:rPr>
        <w:t>存在歧义</w:t>
      </w:r>
      <w:r>
        <w:rPr>
          <w:rFonts w:hint="eastAsia" w:ascii="宋体" w:hAnsi="宋体"/>
          <w:szCs w:val="21"/>
        </w:rPr>
        <w:t>，因此</w:t>
      </w:r>
      <w:r>
        <w:rPr>
          <w:rFonts w:ascii="宋体" w:hAnsi="宋体"/>
          <w:szCs w:val="21"/>
        </w:rPr>
        <w:t>将</w:t>
      </w:r>
      <w:r>
        <w:rPr>
          <w:szCs w:val="21"/>
        </w:rPr>
        <w:t>6.1.9</w:t>
      </w:r>
      <w:r>
        <w:rPr>
          <w:rFonts w:ascii="宋体" w:hAnsi="宋体"/>
          <w:szCs w:val="21"/>
        </w:rPr>
        <w:t>修改为“电池单体、电池包或系统的实际容量应符合制造商提供的产品技术条件”，避免歧义。</w:t>
      </w:r>
    </w:p>
    <w:p>
      <w:pPr>
        <w:spacing w:line="360" w:lineRule="auto"/>
        <w:ind w:firstLine="420"/>
        <w:jc w:val="both"/>
        <w:rPr>
          <w:rFonts w:ascii="宋体" w:hAnsi="宋体"/>
          <w:szCs w:val="21"/>
        </w:rPr>
      </w:pPr>
      <w:r>
        <w:rPr>
          <w:rFonts w:hint="eastAsia" w:ascii="宋体" w:hAnsi="宋体"/>
          <w:szCs w:val="21"/>
        </w:rPr>
        <w:t>c</w:t>
      </w:r>
      <w:r>
        <w:rPr>
          <w:rFonts w:ascii="宋体" w:hAnsi="宋体"/>
          <w:szCs w:val="21"/>
        </w:rPr>
        <w:t>)</w:t>
      </w:r>
      <w:r>
        <w:rPr>
          <w:szCs w:val="21"/>
        </w:rPr>
        <w:t xml:space="preserve"> GB 38031</w:t>
      </w:r>
      <w:r>
        <w:rPr>
          <w:rFonts w:hint="eastAsia"/>
          <w:szCs w:val="21"/>
          <w:lang w:eastAsia="zh-CN"/>
        </w:rPr>
        <w:t>—</w:t>
      </w:r>
      <w:r>
        <w:rPr>
          <w:szCs w:val="21"/>
        </w:rPr>
        <w:t>2020</w:t>
      </w:r>
      <w:r>
        <w:rPr>
          <w:rFonts w:ascii="宋体" w:hAnsi="宋体"/>
          <w:szCs w:val="21"/>
        </w:rPr>
        <w:t>中</w:t>
      </w:r>
      <w:r>
        <w:rPr>
          <w:szCs w:val="21"/>
        </w:rPr>
        <w:t>6.1.10</w:t>
      </w:r>
      <w:r>
        <w:rPr>
          <w:rFonts w:ascii="宋体" w:hAnsi="宋体"/>
          <w:szCs w:val="21"/>
        </w:rPr>
        <w:t>规定，除</w:t>
      </w:r>
      <w:r>
        <w:rPr>
          <w:rFonts w:hint="eastAsia" w:ascii="宋体" w:hAnsi="宋体"/>
          <w:szCs w:val="21"/>
        </w:rPr>
        <w:t>有特殊规定，</w:t>
      </w:r>
      <w:r>
        <w:rPr>
          <w:rFonts w:ascii="宋体" w:hAnsi="宋体"/>
          <w:szCs w:val="21"/>
        </w:rPr>
        <w:t>所有项目均</w:t>
      </w:r>
      <w:r>
        <w:rPr>
          <w:rFonts w:hint="eastAsia" w:ascii="宋体" w:hAnsi="宋体"/>
          <w:szCs w:val="21"/>
        </w:rPr>
        <w:t>以制造商规定的完全充电状态进行测试</w:t>
      </w:r>
      <w:r>
        <w:rPr>
          <w:rFonts w:ascii="宋体" w:hAnsi="宋体"/>
          <w:szCs w:val="21"/>
        </w:rPr>
        <w:t>；国际标准</w:t>
      </w:r>
      <w:r>
        <w:rPr>
          <w:szCs w:val="21"/>
        </w:rPr>
        <w:t>ISO 6469-1:2019</w:t>
      </w:r>
      <w:r>
        <w:rPr>
          <w:rFonts w:ascii="宋体" w:hAnsi="宋体"/>
          <w:szCs w:val="21"/>
        </w:rPr>
        <w:t>中规定全部项目以</w:t>
      </w:r>
      <w:r>
        <w:rPr>
          <w:szCs w:val="21"/>
        </w:rPr>
        <w:t>SOC</w:t>
      </w:r>
      <w:r>
        <w:rPr>
          <w:rFonts w:ascii="宋体" w:hAnsi="宋体"/>
          <w:szCs w:val="21"/>
        </w:rPr>
        <w:t>最大值进行测试，其修订版</w:t>
      </w:r>
      <w:r>
        <w:rPr>
          <w:szCs w:val="21"/>
        </w:rPr>
        <w:t>ISO 6469-1 AMD:2022</w:t>
      </w:r>
      <w:r>
        <w:rPr>
          <w:rFonts w:ascii="宋体" w:hAnsi="宋体"/>
          <w:szCs w:val="21"/>
        </w:rPr>
        <w:t>中规定为热扩散项目样品以电池管理系统的最大允许</w:t>
      </w:r>
      <w:r>
        <w:rPr>
          <w:szCs w:val="21"/>
        </w:rPr>
        <w:t>SOC</w:t>
      </w:r>
      <w:r>
        <w:rPr>
          <w:rFonts w:ascii="宋体" w:hAnsi="宋体"/>
          <w:szCs w:val="21"/>
        </w:rPr>
        <w:t>，或客户和供应商商定的特定</w:t>
      </w:r>
      <w:r>
        <w:rPr>
          <w:szCs w:val="21"/>
        </w:rPr>
        <w:t>SOC</w:t>
      </w:r>
      <w:r>
        <w:rPr>
          <w:rFonts w:ascii="宋体" w:hAnsi="宋体"/>
          <w:szCs w:val="21"/>
        </w:rPr>
        <w:t>值状态进行测试</w:t>
      </w:r>
      <w:r>
        <w:rPr>
          <w:rFonts w:hint="eastAsia" w:ascii="宋体" w:hAnsi="宋体"/>
          <w:szCs w:val="21"/>
        </w:rPr>
        <w:t>。</w:t>
      </w:r>
      <w:r>
        <w:rPr>
          <w:rFonts w:ascii="宋体" w:hAnsi="宋体"/>
          <w:szCs w:val="21"/>
        </w:rPr>
        <w:t>国际标准</w:t>
      </w:r>
      <w:r>
        <w:rPr>
          <w:szCs w:val="21"/>
        </w:rPr>
        <w:t>UN R100、UN GTR 20</w:t>
      </w:r>
      <w:r>
        <w:rPr>
          <w:rFonts w:ascii="宋体" w:hAnsi="宋体"/>
          <w:szCs w:val="21"/>
        </w:rPr>
        <w:t>中规定在最高</w:t>
      </w:r>
      <w:r>
        <w:rPr>
          <w:szCs w:val="21"/>
        </w:rPr>
        <w:t>SOC</w:t>
      </w:r>
      <w:r>
        <w:rPr>
          <w:rFonts w:ascii="宋体" w:hAnsi="宋体"/>
          <w:szCs w:val="21"/>
        </w:rPr>
        <w:t>状态下进行测试</w:t>
      </w:r>
      <w:r>
        <w:rPr>
          <w:rFonts w:hint="eastAsia" w:ascii="宋体" w:hAnsi="宋体"/>
          <w:szCs w:val="21"/>
        </w:rPr>
        <w:t>。因此，将标准中表述改为“除有特殊规定，试验对象均以制造商规定的最高工作荷电状态进行测试”。</w:t>
      </w:r>
    </w:p>
    <w:p>
      <w:pPr>
        <w:spacing w:line="360" w:lineRule="auto"/>
        <w:ind w:firstLine="420"/>
        <w:rPr>
          <w:rFonts w:ascii="宋体" w:hAnsi="宋体"/>
        </w:rPr>
      </w:pPr>
      <w:r>
        <w:rPr>
          <w:rFonts w:ascii="宋体" w:hAnsi="宋体"/>
        </w:rPr>
        <w:t>3</w:t>
      </w:r>
      <w:r>
        <w:rPr>
          <w:rFonts w:hint="eastAsia" w:ascii="宋体" w:hAnsi="宋体"/>
        </w:rPr>
        <w:t>）测量仪器、仪表准确度</w:t>
      </w:r>
    </w:p>
    <w:p>
      <w:pPr>
        <w:spacing w:line="360" w:lineRule="auto"/>
        <w:ind w:firstLine="400"/>
        <w:jc w:val="center"/>
        <w:rPr>
          <w:sz w:val="20"/>
        </w:rPr>
      </w:pPr>
      <w:r>
        <w:rPr>
          <w:rFonts w:hint="eastAsia"/>
          <w:sz w:val="20"/>
        </w:rPr>
        <w:t>表</w:t>
      </w:r>
      <w:r>
        <w:rPr>
          <w:sz w:val="20"/>
        </w:rPr>
        <w:t>9</w:t>
      </w:r>
      <w:r>
        <w:rPr>
          <w:rFonts w:hint="eastAsia"/>
          <w:sz w:val="20"/>
        </w:rPr>
        <w:t>：测量仪器、仪表准确度对比</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1418"/>
        <w:gridCol w:w="1418"/>
        <w:gridCol w:w="2632"/>
        <w:gridCol w:w="1098"/>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16" w:type="pct"/>
            <w:vAlign w:val="center"/>
          </w:tcPr>
          <w:p>
            <w:pPr>
              <w:spacing w:line="276" w:lineRule="auto"/>
              <w:jc w:val="center"/>
              <w:rPr>
                <w:rFonts w:ascii="宋体" w:hAnsi="宋体"/>
                <w:sz w:val="20"/>
                <w:szCs w:val="20"/>
              </w:rPr>
            </w:pPr>
            <w:r>
              <w:rPr>
                <w:rFonts w:hint="eastAsia" w:ascii="宋体" w:hAnsi="宋体"/>
                <w:sz w:val="20"/>
                <w:szCs w:val="20"/>
              </w:rPr>
              <w:t>标准</w:t>
            </w:r>
          </w:p>
        </w:tc>
        <w:tc>
          <w:tcPr>
            <w:tcW w:w="832" w:type="pct"/>
            <w:vAlign w:val="center"/>
          </w:tcPr>
          <w:p>
            <w:pPr>
              <w:spacing w:line="276" w:lineRule="auto"/>
              <w:jc w:val="center"/>
              <w:rPr>
                <w:sz w:val="20"/>
              </w:rPr>
            </w:pPr>
            <w:r>
              <w:rPr>
                <w:szCs w:val="21"/>
              </w:rPr>
              <w:t>GB 38031</w:t>
            </w:r>
            <w:r>
              <w:rPr>
                <w:rFonts w:hint="eastAsia"/>
                <w:szCs w:val="21"/>
                <w:lang w:eastAsia="zh-CN"/>
              </w:rPr>
              <w:t>—</w:t>
            </w:r>
            <w:r>
              <w:rPr>
                <w:szCs w:val="21"/>
              </w:rPr>
              <w:t>2020</w:t>
            </w:r>
          </w:p>
        </w:tc>
        <w:tc>
          <w:tcPr>
            <w:tcW w:w="832" w:type="pct"/>
            <w:vAlign w:val="center"/>
          </w:tcPr>
          <w:p>
            <w:pPr>
              <w:spacing w:line="276" w:lineRule="auto"/>
              <w:jc w:val="center"/>
              <w:rPr>
                <w:sz w:val="20"/>
              </w:rPr>
            </w:pPr>
            <w:r>
              <w:rPr>
                <w:sz w:val="20"/>
              </w:rPr>
              <w:t>ISO 6469-1:2019</w:t>
            </w:r>
          </w:p>
        </w:tc>
        <w:tc>
          <w:tcPr>
            <w:tcW w:w="1544" w:type="pct"/>
            <w:vAlign w:val="center"/>
          </w:tcPr>
          <w:p>
            <w:pPr>
              <w:spacing w:line="276" w:lineRule="auto"/>
              <w:jc w:val="center"/>
              <w:rPr>
                <w:sz w:val="20"/>
              </w:rPr>
            </w:pPr>
            <w:r>
              <w:rPr>
                <w:sz w:val="20"/>
              </w:rPr>
              <w:t>IEC 62660-3:2022</w:t>
            </w:r>
          </w:p>
        </w:tc>
        <w:tc>
          <w:tcPr>
            <w:tcW w:w="644" w:type="pct"/>
            <w:vAlign w:val="center"/>
          </w:tcPr>
          <w:p>
            <w:pPr>
              <w:spacing w:line="276" w:lineRule="auto"/>
              <w:jc w:val="center"/>
              <w:rPr>
                <w:sz w:val="20"/>
              </w:rPr>
            </w:pPr>
            <w:r>
              <w:rPr>
                <w:sz w:val="20"/>
              </w:rPr>
              <w:t>EVS GTR</w:t>
            </w:r>
          </w:p>
        </w:tc>
        <w:tc>
          <w:tcPr>
            <w:tcW w:w="629" w:type="pct"/>
            <w:vAlign w:val="center"/>
          </w:tcPr>
          <w:p>
            <w:pPr>
              <w:spacing w:line="276" w:lineRule="auto"/>
              <w:jc w:val="center"/>
              <w:rPr>
                <w:sz w:val="20"/>
              </w:rPr>
            </w:pPr>
            <w:r>
              <w:rPr>
                <w:sz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16" w:type="pct"/>
            <w:vAlign w:val="center"/>
          </w:tcPr>
          <w:p>
            <w:pPr>
              <w:spacing w:line="276" w:lineRule="auto"/>
              <w:jc w:val="center"/>
              <w:rPr>
                <w:sz w:val="20"/>
                <w:szCs w:val="20"/>
              </w:rPr>
            </w:pPr>
            <w:r>
              <w:rPr>
                <w:rFonts w:hint="eastAsia"/>
                <w:sz w:val="20"/>
                <w:szCs w:val="20"/>
              </w:rPr>
              <w:t>电压</w:t>
            </w:r>
          </w:p>
        </w:tc>
        <w:tc>
          <w:tcPr>
            <w:tcW w:w="832" w:type="pct"/>
            <w:vAlign w:val="center"/>
          </w:tcPr>
          <w:p>
            <w:pPr>
              <w:spacing w:line="276" w:lineRule="auto"/>
              <w:rPr>
                <w:sz w:val="20"/>
                <w:szCs w:val="20"/>
              </w:rPr>
            </w:pPr>
            <w:r>
              <w:rPr>
                <w:sz w:val="20"/>
              </w:rPr>
              <w:t>±0.5%FS</w:t>
            </w:r>
          </w:p>
        </w:tc>
        <w:tc>
          <w:tcPr>
            <w:tcW w:w="832" w:type="pct"/>
            <w:vAlign w:val="center"/>
          </w:tcPr>
          <w:p>
            <w:pPr>
              <w:spacing w:line="276" w:lineRule="auto"/>
              <w:rPr>
                <w:sz w:val="20"/>
                <w:szCs w:val="20"/>
              </w:rPr>
            </w:pPr>
            <w:r>
              <w:rPr>
                <w:sz w:val="20"/>
                <w:szCs w:val="20"/>
              </w:rPr>
              <w:t>±0.5%</w:t>
            </w:r>
          </w:p>
        </w:tc>
        <w:tc>
          <w:tcPr>
            <w:tcW w:w="1544" w:type="pct"/>
            <w:vAlign w:val="center"/>
          </w:tcPr>
          <w:p>
            <w:pPr>
              <w:spacing w:line="276" w:lineRule="auto"/>
              <w:rPr>
                <w:sz w:val="20"/>
                <w:szCs w:val="20"/>
              </w:rPr>
            </w:pPr>
            <w:r>
              <w:rPr>
                <w:sz w:val="20"/>
                <w:szCs w:val="20"/>
              </w:rPr>
              <w:t>电压表内阻为1MΩ/V</w:t>
            </w:r>
          </w:p>
        </w:tc>
        <w:tc>
          <w:tcPr>
            <w:tcW w:w="1274" w:type="pct"/>
            <w:gridSpan w:val="2"/>
            <w:vAlign w:val="center"/>
          </w:tcPr>
          <w:p>
            <w:pPr>
              <w:spacing w:line="276" w:lineRule="auto"/>
              <w:rPr>
                <w:sz w:val="20"/>
                <w:szCs w:val="20"/>
              </w:rPr>
            </w:pPr>
            <w:r>
              <w:rPr>
                <w:sz w:val="20"/>
                <w:szCs w:val="20"/>
              </w:rPr>
              <w:t>±0.1V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16" w:type="pct"/>
            <w:vAlign w:val="center"/>
          </w:tcPr>
          <w:p>
            <w:pPr>
              <w:spacing w:line="276" w:lineRule="auto"/>
              <w:jc w:val="center"/>
              <w:rPr>
                <w:sz w:val="20"/>
                <w:szCs w:val="20"/>
              </w:rPr>
            </w:pPr>
            <w:r>
              <w:rPr>
                <w:rFonts w:hint="eastAsia"/>
                <w:sz w:val="20"/>
                <w:szCs w:val="20"/>
              </w:rPr>
              <w:t>电流</w:t>
            </w:r>
          </w:p>
        </w:tc>
        <w:tc>
          <w:tcPr>
            <w:tcW w:w="832" w:type="pct"/>
            <w:vAlign w:val="center"/>
          </w:tcPr>
          <w:p>
            <w:pPr>
              <w:spacing w:line="276" w:lineRule="auto"/>
              <w:rPr>
                <w:sz w:val="20"/>
                <w:szCs w:val="20"/>
              </w:rPr>
            </w:pPr>
            <w:r>
              <w:rPr>
                <w:sz w:val="20"/>
                <w:szCs w:val="20"/>
              </w:rPr>
              <w:t>±0.5%FS</w:t>
            </w:r>
          </w:p>
        </w:tc>
        <w:tc>
          <w:tcPr>
            <w:tcW w:w="832" w:type="pct"/>
            <w:vAlign w:val="center"/>
          </w:tcPr>
          <w:p>
            <w:pPr>
              <w:spacing w:line="276" w:lineRule="auto"/>
              <w:rPr>
                <w:sz w:val="20"/>
                <w:szCs w:val="20"/>
              </w:rPr>
            </w:pPr>
            <w:r>
              <w:rPr>
                <w:sz w:val="20"/>
                <w:szCs w:val="20"/>
              </w:rPr>
              <w:t>±0.5%</w:t>
            </w:r>
          </w:p>
        </w:tc>
        <w:tc>
          <w:tcPr>
            <w:tcW w:w="1544" w:type="pct"/>
            <w:vAlign w:val="center"/>
          </w:tcPr>
          <w:p>
            <w:pPr>
              <w:spacing w:line="276" w:lineRule="auto"/>
              <w:rPr>
                <w:sz w:val="20"/>
                <w:szCs w:val="20"/>
              </w:rPr>
            </w:pPr>
            <w:r>
              <w:rPr>
                <w:sz w:val="20"/>
                <w:szCs w:val="20"/>
              </w:rPr>
              <w:t>电流测量全部回路精度为0.5级</w:t>
            </w:r>
          </w:p>
        </w:tc>
        <w:tc>
          <w:tcPr>
            <w:tcW w:w="1274" w:type="pct"/>
            <w:gridSpan w:val="2"/>
            <w:vAlign w:val="center"/>
          </w:tcPr>
          <w:p>
            <w:pPr>
              <w:spacing w:line="276" w:lineRule="auto"/>
              <w:rPr>
                <w:sz w:val="20"/>
                <w:szCs w:val="20"/>
              </w:rPr>
            </w:pPr>
            <w:r>
              <w:rPr>
                <w:sz w:val="20"/>
                <w:szCs w:val="20"/>
              </w:rPr>
              <w:t>±0.5A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16" w:type="pct"/>
            <w:vAlign w:val="center"/>
          </w:tcPr>
          <w:p>
            <w:pPr>
              <w:spacing w:line="276" w:lineRule="auto"/>
              <w:jc w:val="center"/>
              <w:rPr>
                <w:sz w:val="20"/>
                <w:szCs w:val="20"/>
              </w:rPr>
            </w:pPr>
            <w:r>
              <w:rPr>
                <w:rFonts w:hint="eastAsia"/>
                <w:sz w:val="20"/>
                <w:szCs w:val="20"/>
              </w:rPr>
              <w:t>温度</w:t>
            </w:r>
          </w:p>
        </w:tc>
        <w:tc>
          <w:tcPr>
            <w:tcW w:w="832" w:type="pct"/>
            <w:vAlign w:val="center"/>
          </w:tcPr>
          <w:p>
            <w:pPr>
              <w:spacing w:line="276" w:lineRule="auto"/>
              <w:rPr>
                <w:sz w:val="20"/>
                <w:szCs w:val="20"/>
              </w:rPr>
            </w:pPr>
            <w:r>
              <w:rPr>
                <w:sz w:val="20"/>
                <w:szCs w:val="20"/>
              </w:rPr>
              <w:t>±0.5℃</w:t>
            </w:r>
          </w:p>
        </w:tc>
        <w:tc>
          <w:tcPr>
            <w:tcW w:w="832" w:type="pct"/>
            <w:vAlign w:val="center"/>
          </w:tcPr>
          <w:p>
            <w:pPr>
              <w:spacing w:line="276" w:lineRule="auto"/>
              <w:rPr>
                <w:sz w:val="20"/>
                <w:szCs w:val="20"/>
              </w:rPr>
            </w:pPr>
            <w:r>
              <w:rPr>
                <w:sz w:val="20"/>
                <w:szCs w:val="20"/>
              </w:rPr>
              <w:t>±1K</w:t>
            </w:r>
          </w:p>
        </w:tc>
        <w:tc>
          <w:tcPr>
            <w:tcW w:w="1544" w:type="pct"/>
            <w:vAlign w:val="center"/>
          </w:tcPr>
          <w:p>
            <w:pPr>
              <w:spacing w:line="276" w:lineRule="auto"/>
              <w:rPr>
                <w:sz w:val="20"/>
                <w:szCs w:val="20"/>
              </w:rPr>
            </w:pPr>
            <w:r>
              <w:rPr>
                <w:sz w:val="20"/>
                <w:szCs w:val="20"/>
              </w:rPr>
              <w:t>/</w:t>
            </w:r>
          </w:p>
        </w:tc>
        <w:tc>
          <w:tcPr>
            <w:tcW w:w="1274" w:type="pct"/>
            <w:gridSpan w:val="2"/>
            <w:vAlign w:val="center"/>
          </w:tcPr>
          <w:p>
            <w:pPr>
              <w:spacing w:line="276" w:lineRule="auto"/>
              <w:rPr>
                <w:sz w:val="20"/>
                <w:szCs w:val="20"/>
              </w:rPr>
            </w:pPr>
            <w:r>
              <w:rPr>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16" w:type="pct"/>
            <w:vAlign w:val="center"/>
          </w:tcPr>
          <w:p>
            <w:pPr>
              <w:spacing w:line="276" w:lineRule="auto"/>
              <w:jc w:val="center"/>
              <w:rPr>
                <w:sz w:val="20"/>
                <w:szCs w:val="20"/>
              </w:rPr>
            </w:pPr>
            <w:r>
              <w:rPr>
                <w:rFonts w:hint="eastAsia"/>
                <w:sz w:val="20"/>
                <w:szCs w:val="20"/>
              </w:rPr>
              <w:t>时间</w:t>
            </w:r>
          </w:p>
        </w:tc>
        <w:tc>
          <w:tcPr>
            <w:tcW w:w="832" w:type="pct"/>
            <w:vAlign w:val="center"/>
          </w:tcPr>
          <w:p>
            <w:pPr>
              <w:spacing w:line="276" w:lineRule="auto"/>
              <w:rPr>
                <w:sz w:val="20"/>
                <w:szCs w:val="20"/>
              </w:rPr>
            </w:pPr>
            <w:r>
              <w:rPr>
                <w:sz w:val="20"/>
                <w:szCs w:val="20"/>
              </w:rPr>
              <w:t>±0.1%FS</w:t>
            </w:r>
          </w:p>
        </w:tc>
        <w:tc>
          <w:tcPr>
            <w:tcW w:w="832" w:type="pct"/>
            <w:vAlign w:val="center"/>
          </w:tcPr>
          <w:p>
            <w:pPr>
              <w:spacing w:line="276" w:lineRule="auto"/>
              <w:rPr>
                <w:sz w:val="20"/>
                <w:szCs w:val="20"/>
              </w:rPr>
            </w:pPr>
            <w:r>
              <w:rPr>
                <w:sz w:val="20"/>
                <w:szCs w:val="20"/>
              </w:rPr>
              <w:t>/</w:t>
            </w:r>
          </w:p>
        </w:tc>
        <w:tc>
          <w:tcPr>
            <w:tcW w:w="1544" w:type="pct"/>
            <w:vAlign w:val="center"/>
          </w:tcPr>
          <w:p>
            <w:pPr>
              <w:spacing w:line="276" w:lineRule="auto"/>
              <w:rPr>
                <w:sz w:val="20"/>
                <w:szCs w:val="20"/>
              </w:rPr>
            </w:pPr>
            <w:r>
              <w:rPr>
                <w:sz w:val="20"/>
                <w:szCs w:val="20"/>
              </w:rPr>
              <w:t>/</w:t>
            </w:r>
          </w:p>
        </w:tc>
        <w:tc>
          <w:tcPr>
            <w:tcW w:w="644" w:type="pct"/>
            <w:vAlign w:val="center"/>
          </w:tcPr>
          <w:p>
            <w:pPr>
              <w:spacing w:line="276" w:lineRule="auto"/>
              <w:rPr>
                <w:sz w:val="20"/>
                <w:szCs w:val="20"/>
              </w:rPr>
            </w:pPr>
            <w:r>
              <w:rPr>
                <w:sz w:val="20"/>
                <w:szCs w:val="20"/>
              </w:rPr>
              <w:t>/</w:t>
            </w:r>
          </w:p>
        </w:tc>
        <w:tc>
          <w:tcPr>
            <w:tcW w:w="629" w:type="pct"/>
            <w:vAlign w:val="center"/>
          </w:tcPr>
          <w:p>
            <w:pPr>
              <w:spacing w:line="276" w:lineRule="auto"/>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16" w:type="pct"/>
            <w:vAlign w:val="center"/>
          </w:tcPr>
          <w:p>
            <w:pPr>
              <w:spacing w:line="276" w:lineRule="auto"/>
              <w:jc w:val="center"/>
              <w:rPr>
                <w:sz w:val="20"/>
                <w:szCs w:val="20"/>
              </w:rPr>
            </w:pPr>
            <w:r>
              <w:rPr>
                <w:rFonts w:hint="eastAsia"/>
                <w:sz w:val="20"/>
                <w:szCs w:val="20"/>
              </w:rPr>
              <w:t>尺寸</w:t>
            </w:r>
          </w:p>
        </w:tc>
        <w:tc>
          <w:tcPr>
            <w:tcW w:w="832" w:type="pct"/>
            <w:vAlign w:val="center"/>
          </w:tcPr>
          <w:p>
            <w:pPr>
              <w:spacing w:line="276" w:lineRule="auto"/>
              <w:rPr>
                <w:sz w:val="20"/>
                <w:szCs w:val="20"/>
              </w:rPr>
            </w:pPr>
            <w:r>
              <w:rPr>
                <w:sz w:val="20"/>
                <w:szCs w:val="20"/>
              </w:rPr>
              <w:t>±0.1%FS</w:t>
            </w:r>
          </w:p>
        </w:tc>
        <w:tc>
          <w:tcPr>
            <w:tcW w:w="832" w:type="pct"/>
            <w:vAlign w:val="center"/>
          </w:tcPr>
          <w:p>
            <w:pPr>
              <w:spacing w:line="276" w:lineRule="auto"/>
              <w:rPr>
                <w:sz w:val="20"/>
                <w:szCs w:val="20"/>
              </w:rPr>
            </w:pPr>
            <w:r>
              <w:rPr>
                <w:sz w:val="20"/>
                <w:szCs w:val="20"/>
              </w:rPr>
              <w:t>/</w:t>
            </w:r>
          </w:p>
        </w:tc>
        <w:tc>
          <w:tcPr>
            <w:tcW w:w="1544" w:type="pct"/>
            <w:vAlign w:val="center"/>
          </w:tcPr>
          <w:p>
            <w:pPr>
              <w:spacing w:line="276" w:lineRule="auto"/>
              <w:rPr>
                <w:sz w:val="20"/>
                <w:szCs w:val="20"/>
              </w:rPr>
            </w:pPr>
            <w:r>
              <w:rPr>
                <w:sz w:val="20"/>
                <w:szCs w:val="20"/>
              </w:rPr>
              <w:t>/</w:t>
            </w:r>
          </w:p>
        </w:tc>
        <w:tc>
          <w:tcPr>
            <w:tcW w:w="644" w:type="pct"/>
            <w:vAlign w:val="center"/>
          </w:tcPr>
          <w:p>
            <w:pPr>
              <w:spacing w:line="276" w:lineRule="auto"/>
              <w:rPr>
                <w:sz w:val="20"/>
                <w:szCs w:val="20"/>
              </w:rPr>
            </w:pPr>
            <w:r>
              <w:rPr>
                <w:sz w:val="20"/>
                <w:szCs w:val="20"/>
              </w:rPr>
              <w:t>/</w:t>
            </w:r>
          </w:p>
        </w:tc>
        <w:tc>
          <w:tcPr>
            <w:tcW w:w="629" w:type="pct"/>
            <w:vAlign w:val="center"/>
          </w:tcPr>
          <w:p>
            <w:pPr>
              <w:spacing w:line="276" w:lineRule="auto"/>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16" w:type="pct"/>
            <w:vAlign w:val="center"/>
          </w:tcPr>
          <w:p>
            <w:pPr>
              <w:spacing w:line="276" w:lineRule="auto"/>
              <w:jc w:val="center"/>
              <w:rPr>
                <w:sz w:val="20"/>
                <w:szCs w:val="20"/>
              </w:rPr>
            </w:pPr>
            <w:r>
              <w:rPr>
                <w:rFonts w:hint="eastAsia"/>
                <w:sz w:val="20"/>
                <w:szCs w:val="20"/>
              </w:rPr>
              <w:t>质量</w:t>
            </w:r>
          </w:p>
        </w:tc>
        <w:tc>
          <w:tcPr>
            <w:tcW w:w="832" w:type="pct"/>
            <w:vAlign w:val="center"/>
          </w:tcPr>
          <w:p>
            <w:pPr>
              <w:spacing w:line="276" w:lineRule="auto"/>
              <w:rPr>
                <w:sz w:val="20"/>
                <w:szCs w:val="20"/>
              </w:rPr>
            </w:pPr>
            <w:r>
              <w:rPr>
                <w:sz w:val="20"/>
                <w:szCs w:val="20"/>
              </w:rPr>
              <w:t>±0.1%FS</w:t>
            </w:r>
          </w:p>
        </w:tc>
        <w:tc>
          <w:tcPr>
            <w:tcW w:w="832" w:type="pct"/>
            <w:vAlign w:val="center"/>
          </w:tcPr>
          <w:p>
            <w:pPr>
              <w:spacing w:line="276" w:lineRule="auto"/>
              <w:rPr>
                <w:sz w:val="20"/>
                <w:szCs w:val="20"/>
              </w:rPr>
            </w:pPr>
            <w:r>
              <w:rPr>
                <w:sz w:val="20"/>
                <w:szCs w:val="20"/>
              </w:rPr>
              <w:t>/</w:t>
            </w:r>
          </w:p>
        </w:tc>
        <w:tc>
          <w:tcPr>
            <w:tcW w:w="1544" w:type="pct"/>
            <w:vAlign w:val="center"/>
          </w:tcPr>
          <w:p>
            <w:pPr>
              <w:spacing w:line="276" w:lineRule="auto"/>
              <w:rPr>
                <w:sz w:val="20"/>
                <w:szCs w:val="20"/>
              </w:rPr>
            </w:pPr>
            <w:r>
              <w:rPr>
                <w:sz w:val="20"/>
                <w:szCs w:val="20"/>
              </w:rPr>
              <w:t>/</w:t>
            </w:r>
          </w:p>
        </w:tc>
        <w:tc>
          <w:tcPr>
            <w:tcW w:w="644" w:type="pct"/>
            <w:vAlign w:val="center"/>
          </w:tcPr>
          <w:p>
            <w:pPr>
              <w:spacing w:line="276" w:lineRule="auto"/>
              <w:rPr>
                <w:sz w:val="20"/>
                <w:szCs w:val="20"/>
              </w:rPr>
            </w:pPr>
            <w:r>
              <w:rPr>
                <w:sz w:val="20"/>
                <w:szCs w:val="20"/>
              </w:rPr>
              <w:t>/</w:t>
            </w:r>
          </w:p>
        </w:tc>
        <w:tc>
          <w:tcPr>
            <w:tcW w:w="629" w:type="pct"/>
            <w:vAlign w:val="center"/>
          </w:tcPr>
          <w:p>
            <w:pPr>
              <w:spacing w:line="276" w:lineRule="auto"/>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16" w:type="pct"/>
            <w:vAlign w:val="center"/>
          </w:tcPr>
          <w:p>
            <w:pPr>
              <w:spacing w:line="276" w:lineRule="auto"/>
              <w:jc w:val="center"/>
              <w:rPr>
                <w:sz w:val="20"/>
                <w:szCs w:val="20"/>
              </w:rPr>
            </w:pPr>
            <w:r>
              <w:rPr>
                <w:rFonts w:hint="eastAsia"/>
                <w:sz w:val="20"/>
                <w:szCs w:val="20"/>
              </w:rPr>
              <w:t>其他</w:t>
            </w:r>
          </w:p>
        </w:tc>
        <w:tc>
          <w:tcPr>
            <w:tcW w:w="832" w:type="pct"/>
            <w:vAlign w:val="center"/>
          </w:tcPr>
          <w:p>
            <w:pPr>
              <w:spacing w:line="276" w:lineRule="auto"/>
              <w:rPr>
                <w:sz w:val="20"/>
                <w:szCs w:val="20"/>
              </w:rPr>
            </w:pPr>
            <w:r>
              <w:rPr>
                <w:sz w:val="20"/>
                <w:szCs w:val="20"/>
              </w:rPr>
              <w:t>/</w:t>
            </w:r>
          </w:p>
        </w:tc>
        <w:tc>
          <w:tcPr>
            <w:tcW w:w="832" w:type="pct"/>
            <w:vAlign w:val="center"/>
          </w:tcPr>
          <w:p>
            <w:pPr>
              <w:spacing w:line="276" w:lineRule="auto"/>
              <w:rPr>
                <w:sz w:val="20"/>
                <w:szCs w:val="20"/>
              </w:rPr>
            </w:pPr>
            <w:r>
              <w:rPr>
                <w:sz w:val="20"/>
                <w:szCs w:val="20"/>
              </w:rPr>
              <w:t>/</w:t>
            </w:r>
          </w:p>
        </w:tc>
        <w:tc>
          <w:tcPr>
            <w:tcW w:w="1544" w:type="pct"/>
            <w:vAlign w:val="center"/>
          </w:tcPr>
          <w:p>
            <w:pPr>
              <w:spacing w:line="276" w:lineRule="auto"/>
              <w:rPr>
                <w:sz w:val="20"/>
                <w:szCs w:val="20"/>
              </w:rPr>
            </w:pPr>
            <w:r>
              <w:rPr>
                <w:rFonts w:hint="eastAsia"/>
                <w:sz w:val="20"/>
                <w:szCs w:val="20"/>
                <w:lang w:bidi="ar"/>
              </w:rPr>
              <w:t>对于指针式仪表，读数时指针应在表盘的最后三分之一范围内</w:t>
            </w:r>
            <w:r>
              <w:rPr>
                <w:rFonts w:ascii="宋体" w:hAnsi="宋体" w:cs="宋体"/>
                <w:sz w:val="24"/>
              </w:rPr>
              <w:t xml:space="preserve"> </w:t>
            </w:r>
          </w:p>
        </w:tc>
        <w:tc>
          <w:tcPr>
            <w:tcW w:w="644" w:type="pct"/>
            <w:vAlign w:val="center"/>
          </w:tcPr>
          <w:p>
            <w:pPr>
              <w:spacing w:line="276" w:lineRule="auto"/>
              <w:rPr>
                <w:sz w:val="20"/>
                <w:szCs w:val="20"/>
              </w:rPr>
            </w:pPr>
            <w:r>
              <w:rPr>
                <w:sz w:val="20"/>
                <w:szCs w:val="20"/>
              </w:rPr>
              <w:t>/</w:t>
            </w:r>
          </w:p>
        </w:tc>
        <w:tc>
          <w:tcPr>
            <w:tcW w:w="629" w:type="pct"/>
            <w:vAlign w:val="center"/>
          </w:tcPr>
          <w:p>
            <w:pPr>
              <w:spacing w:line="276" w:lineRule="auto"/>
              <w:rPr>
                <w:sz w:val="20"/>
                <w:szCs w:val="20"/>
              </w:rPr>
            </w:pPr>
            <w:r>
              <w:rPr>
                <w:sz w:val="20"/>
                <w:szCs w:val="20"/>
              </w:rPr>
              <w:t>/</w:t>
            </w:r>
          </w:p>
        </w:tc>
      </w:tr>
    </w:tbl>
    <w:p>
      <w:pPr>
        <w:spacing w:line="360" w:lineRule="auto"/>
        <w:ind w:firstLine="420"/>
        <w:jc w:val="both"/>
        <w:rPr>
          <w:rFonts w:ascii="宋体" w:hAnsi="宋体"/>
          <w:szCs w:val="21"/>
        </w:rPr>
      </w:pPr>
      <w:r>
        <w:rPr>
          <w:szCs w:val="21"/>
        </w:rPr>
        <w:t>GB 38031-2020</w:t>
      </w:r>
      <w:r>
        <w:rPr>
          <w:rFonts w:hint="eastAsia"/>
          <w:szCs w:val="21"/>
        </w:rPr>
        <w:t>中</w:t>
      </w:r>
      <w:r>
        <w:rPr>
          <w:rFonts w:hint="eastAsia" w:ascii="宋体" w:hAnsi="宋体"/>
          <w:szCs w:val="21"/>
        </w:rPr>
        <w:t>对测量仪器仪表精度均以满量程进行要求，其中电压、电流为</w:t>
      </w:r>
      <w:r>
        <w:rPr>
          <w:rFonts w:hint="eastAsia"/>
          <w:szCs w:val="21"/>
        </w:rPr>
        <w:t>±0.5%FS</w:t>
      </w:r>
      <w:r>
        <w:rPr>
          <w:rFonts w:hint="eastAsia" w:ascii="宋体" w:hAnsi="宋体"/>
          <w:szCs w:val="21"/>
        </w:rPr>
        <w:t>，温度为</w:t>
      </w:r>
      <w:r>
        <w:rPr>
          <w:rFonts w:hint="eastAsia"/>
          <w:szCs w:val="21"/>
        </w:rPr>
        <w:t>±0.5℃</w:t>
      </w:r>
      <w:r>
        <w:rPr>
          <w:rFonts w:hint="eastAsia" w:ascii="宋体" w:hAnsi="宋体"/>
          <w:szCs w:val="21"/>
        </w:rPr>
        <w:t>，时间、尺寸、精度为</w:t>
      </w:r>
      <w:r>
        <w:rPr>
          <w:rFonts w:hint="eastAsia"/>
          <w:szCs w:val="21"/>
        </w:rPr>
        <w:t>±0.1%FS</w:t>
      </w:r>
      <w:r>
        <w:rPr>
          <w:rFonts w:hint="eastAsia" w:ascii="宋体" w:hAnsi="宋体"/>
          <w:szCs w:val="21"/>
        </w:rPr>
        <w:t>；国外标准</w:t>
      </w:r>
      <w:r>
        <w:rPr>
          <w:rFonts w:hint="eastAsia"/>
          <w:szCs w:val="21"/>
        </w:rPr>
        <w:t>ISO 6469-1:2019、IEC 62660-2:2018、IEC 62660-3:2022</w:t>
      </w:r>
      <w:r>
        <w:rPr>
          <w:rFonts w:hint="eastAsia" w:ascii="宋体" w:hAnsi="宋体"/>
          <w:szCs w:val="21"/>
        </w:rPr>
        <w:t>对电压、电流的精度要求均为</w:t>
      </w:r>
      <w:r>
        <w:rPr>
          <w:rFonts w:hint="eastAsia"/>
          <w:szCs w:val="21"/>
        </w:rPr>
        <w:t>±0.5%（0.5级）</w:t>
      </w:r>
      <w:r>
        <w:rPr>
          <w:rFonts w:hint="eastAsia" w:ascii="宋体" w:hAnsi="宋体"/>
          <w:szCs w:val="21"/>
        </w:rPr>
        <w:t>，</w:t>
      </w:r>
      <w:r>
        <w:rPr>
          <w:rFonts w:hint="eastAsia"/>
          <w:szCs w:val="21"/>
        </w:rPr>
        <w:t>ISO 6469-1:2019</w:t>
      </w:r>
      <w:r>
        <w:rPr>
          <w:rFonts w:hint="eastAsia" w:ascii="宋体" w:hAnsi="宋体"/>
          <w:szCs w:val="21"/>
        </w:rPr>
        <w:t>对温度的精度要求为</w:t>
      </w:r>
      <w:r>
        <w:rPr>
          <w:rFonts w:hint="eastAsia"/>
          <w:szCs w:val="21"/>
        </w:rPr>
        <w:t>±1K</w:t>
      </w:r>
      <w:r>
        <w:rPr>
          <w:rFonts w:hint="eastAsia" w:ascii="宋体" w:hAnsi="宋体"/>
          <w:szCs w:val="21"/>
        </w:rPr>
        <w:t>，在设备精度方面未对时间、尺寸、质量进行要求。</w:t>
      </w:r>
      <w:r>
        <w:rPr>
          <w:rFonts w:ascii="宋体" w:hAnsi="宋体"/>
          <w:szCs w:val="21"/>
        </w:rPr>
        <w:t>测量仪器范围方面，国外标准</w:t>
      </w:r>
      <w:r>
        <w:rPr>
          <w:rFonts w:hint="eastAsia"/>
          <w:szCs w:val="21"/>
        </w:rPr>
        <w:t>IEC 62660-3:2022</w:t>
      </w:r>
      <w:r>
        <w:rPr>
          <w:rFonts w:hint="eastAsia" w:ascii="宋体" w:hAnsi="宋体"/>
          <w:szCs w:val="21"/>
        </w:rPr>
        <w:t>要求模拟仪器读数在刻度最后三分之一进行，进一步强调了测试设备测量范围与被测对象物理量匹配性。修订过程中收到如下建议：尺寸、时间两个物理量由于测试时间整体跨度以及样品尺寸范围相差较大，对于短时间和单体样品尺寸情况下</w:t>
      </w:r>
      <w:r>
        <w:rPr>
          <w:rFonts w:hint="eastAsia"/>
          <w:szCs w:val="21"/>
        </w:rPr>
        <w:t>0.1%FS</w:t>
      </w:r>
      <w:r>
        <w:rPr>
          <w:rFonts w:hint="eastAsia" w:ascii="宋体" w:hAnsi="宋体"/>
          <w:szCs w:val="21"/>
        </w:rPr>
        <w:t>精度要求过于苛刻。建议将时间、尺寸测试仪器精度要求由0.1%FS改为</w:t>
      </w:r>
      <w:r>
        <w:rPr>
          <w:rFonts w:ascii="宋体" w:hAnsi="宋体"/>
          <w:szCs w:val="21"/>
        </w:rPr>
        <w:t>0.1s，1mm（1m）/0.02mm（50cm）。</w:t>
      </w:r>
      <w:r>
        <w:rPr>
          <w:rFonts w:hint="eastAsia" w:ascii="宋体" w:hAnsi="宋体"/>
          <w:szCs w:val="21"/>
        </w:rPr>
        <w:t>但考虑到，国际标准中要求时间、尺寸、质量三类物理量的测量误差应满足±0</w:t>
      </w:r>
      <w:r>
        <w:rPr>
          <w:rFonts w:ascii="宋体" w:hAnsi="宋体"/>
          <w:szCs w:val="21"/>
        </w:rPr>
        <w:t>.1%</w:t>
      </w:r>
      <w:r>
        <w:rPr>
          <w:rFonts w:hint="eastAsia" w:ascii="宋体" w:hAnsi="宋体"/>
          <w:szCs w:val="21"/>
        </w:rPr>
        <w:t>要求，而测量误差来源包括但不限于系统误差、环境因素以及人为操作因素，在本章节规定仪表准确度应大于实际误差控制要求,故相关精度要求不做变更。</w:t>
      </w:r>
    </w:p>
    <w:p>
      <w:pPr>
        <w:spacing w:line="360" w:lineRule="auto"/>
        <w:ind w:firstLine="420"/>
        <w:rPr>
          <w:rFonts w:ascii="宋体" w:hAnsi="宋体"/>
        </w:rPr>
      </w:pPr>
      <w:r>
        <w:rPr>
          <w:rFonts w:ascii="宋体" w:hAnsi="宋体"/>
        </w:rPr>
        <w:t>4</w:t>
      </w:r>
      <w:r>
        <w:rPr>
          <w:rFonts w:hint="eastAsia" w:ascii="宋体" w:hAnsi="宋体"/>
        </w:rPr>
        <w:t>）</w:t>
      </w:r>
      <w:r>
        <w:rPr>
          <w:rFonts w:ascii="宋体" w:hAnsi="宋体"/>
        </w:rPr>
        <w:t>测试过程误差</w:t>
      </w:r>
      <w:r>
        <w:rPr>
          <w:rFonts w:hint="eastAsia" w:ascii="宋体" w:hAnsi="宋体"/>
        </w:rPr>
        <w:t>要求</w:t>
      </w:r>
    </w:p>
    <w:p>
      <w:pPr>
        <w:spacing w:line="360" w:lineRule="auto"/>
        <w:ind w:firstLine="400"/>
        <w:jc w:val="center"/>
        <w:rPr>
          <w:sz w:val="20"/>
        </w:rPr>
      </w:pPr>
      <w:r>
        <w:rPr>
          <w:sz w:val="20"/>
        </w:rPr>
        <w:t>表10</w:t>
      </w:r>
      <w:r>
        <w:rPr>
          <w:rFonts w:hint="eastAsia"/>
          <w:sz w:val="20"/>
        </w:rPr>
        <w:t>：</w:t>
      </w:r>
      <w:r>
        <w:rPr>
          <w:sz w:val="20"/>
        </w:rPr>
        <w:t>测试过程误差</w:t>
      </w:r>
      <w:r>
        <w:rPr>
          <w:rFonts w:hint="eastAsia"/>
          <w:sz w:val="20"/>
        </w:rPr>
        <w:t>要求</w:t>
      </w:r>
      <w:r>
        <w:rPr>
          <w:sz w:val="20"/>
        </w:rPr>
        <w:t>对比</w:t>
      </w:r>
    </w:p>
    <w:tbl>
      <w:tblPr>
        <w:tblStyle w:val="10"/>
        <w:tblW w:w="8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2"/>
        <w:gridCol w:w="1412"/>
        <w:gridCol w:w="1413"/>
        <w:gridCol w:w="1413"/>
        <w:gridCol w:w="1412"/>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252" w:type="dxa"/>
            <w:vAlign w:val="center"/>
          </w:tcPr>
          <w:p>
            <w:pPr>
              <w:spacing w:line="276" w:lineRule="auto"/>
              <w:jc w:val="center"/>
              <w:rPr>
                <w:rFonts w:ascii="宋体" w:hAnsi="宋体"/>
                <w:sz w:val="20"/>
                <w:szCs w:val="20"/>
              </w:rPr>
            </w:pPr>
            <w:r>
              <w:rPr>
                <w:rFonts w:hint="eastAsia" w:ascii="宋体" w:hAnsi="宋体"/>
                <w:sz w:val="20"/>
                <w:szCs w:val="20"/>
              </w:rPr>
              <w:t>标准</w:t>
            </w:r>
          </w:p>
        </w:tc>
        <w:tc>
          <w:tcPr>
            <w:tcW w:w="1412" w:type="dxa"/>
            <w:vAlign w:val="center"/>
          </w:tcPr>
          <w:p>
            <w:pPr>
              <w:spacing w:line="276" w:lineRule="auto"/>
              <w:jc w:val="center"/>
              <w:rPr>
                <w:sz w:val="20"/>
              </w:rPr>
            </w:pPr>
            <w:r>
              <w:rPr>
                <w:szCs w:val="21"/>
              </w:rPr>
              <w:t>GB 38031</w:t>
            </w:r>
            <w:r>
              <w:rPr>
                <w:rFonts w:hint="eastAsia"/>
                <w:szCs w:val="21"/>
                <w:lang w:eastAsia="zh-CN"/>
              </w:rPr>
              <w:t>—</w:t>
            </w:r>
            <w:r>
              <w:rPr>
                <w:szCs w:val="21"/>
              </w:rPr>
              <w:t>2020</w:t>
            </w:r>
          </w:p>
        </w:tc>
        <w:tc>
          <w:tcPr>
            <w:tcW w:w="1413" w:type="dxa"/>
            <w:vAlign w:val="center"/>
          </w:tcPr>
          <w:p>
            <w:pPr>
              <w:spacing w:line="276" w:lineRule="auto"/>
              <w:jc w:val="center"/>
              <w:rPr>
                <w:sz w:val="20"/>
              </w:rPr>
            </w:pPr>
            <w:r>
              <w:rPr>
                <w:sz w:val="20"/>
              </w:rPr>
              <w:t>ISO 6469-1:2019</w:t>
            </w:r>
          </w:p>
        </w:tc>
        <w:tc>
          <w:tcPr>
            <w:tcW w:w="1413" w:type="dxa"/>
            <w:vAlign w:val="center"/>
          </w:tcPr>
          <w:p>
            <w:pPr>
              <w:spacing w:line="276" w:lineRule="auto"/>
              <w:jc w:val="center"/>
              <w:rPr>
                <w:sz w:val="20"/>
              </w:rPr>
            </w:pPr>
            <w:r>
              <w:rPr>
                <w:sz w:val="20"/>
              </w:rPr>
              <w:t>IEC 62660-3:2022</w:t>
            </w:r>
          </w:p>
        </w:tc>
        <w:tc>
          <w:tcPr>
            <w:tcW w:w="1412" w:type="dxa"/>
            <w:vAlign w:val="center"/>
          </w:tcPr>
          <w:p>
            <w:pPr>
              <w:spacing w:line="276" w:lineRule="auto"/>
              <w:jc w:val="center"/>
              <w:rPr>
                <w:sz w:val="20"/>
              </w:rPr>
            </w:pPr>
            <w:r>
              <w:rPr>
                <w:sz w:val="20"/>
              </w:rPr>
              <w:t>EVS GTR</w:t>
            </w:r>
          </w:p>
        </w:tc>
        <w:tc>
          <w:tcPr>
            <w:tcW w:w="1413" w:type="dxa"/>
            <w:vAlign w:val="center"/>
          </w:tcPr>
          <w:p>
            <w:pPr>
              <w:spacing w:line="276" w:lineRule="auto"/>
              <w:jc w:val="center"/>
              <w:rPr>
                <w:sz w:val="20"/>
              </w:rPr>
            </w:pPr>
            <w:r>
              <w:rPr>
                <w:sz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252" w:type="dxa"/>
            <w:vAlign w:val="center"/>
          </w:tcPr>
          <w:p>
            <w:pPr>
              <w:spacing w:line="276" w:lineRule="auto"/>
              <w:jc w:val="center"/>
              <w:rPr>
                <w:sz w:val="20"/>
                <w:szCs w:val="20"/>
              </w:rPr>
            </w:pPr>
            <w:r>
              <w:rPr>
                <w:rFonts w:hint="eastAsia"/>
                <w:sz w:val="20"/>
                <w:szCs w:val="20"/>
              </w:rPr>
              <w:t>电压</w:t>
            </w:r>
          </w:p>
        </w:tc>
        <w:tc>
          <w:tcPr>
            <w:tcW w:w="1412" w:type="dxa"/>
            <w:vAlign w:val="center"/>
          </w:tcPr>
          <w:p>
            <w:pPr>
              <w:spacing w:line="276" w:lineRule="auto"/>
              <w:jc w:val="center"/>
              <w:rPr>
                <w:sz w:val="20"/>
                <w:szCs w:val="20"/>
              </w:rPr>
            </w:pPr>
            <w:r>
              <w:rPr>
                <w:sz w:val="20"/>
                <w:szCs w:val="20"/>
              </w:rPr>
              <w:t>±1%</w:t>
            </w:r>
          </w:p>
        </w:tc>
        <w:tc>
          <w:tcPr>
            <w:tcW w:w="1413" w:type="dxa"/>
            <w:vAlign w:val="center"/>
          </w:tcPr>
          <w:p>
            <w:pPr>
              <w:spacing w:line="276" w:lineRule="auto"/>
              <w:jc w:val="center"/>
              <w:rPr>
                <w:sz w:val="20"/>
                <w:szCs w:val="20"/>
              </w:rPr>
            </w:pPr>
            <w:r>
              <w:rPr>
                <w:sz w:val="20"/>
                <w:szCs w:val="20"/>
              </w:rPr>
              <w:t>±1%</w:t>
            </w:r>
          </w:p>
        </w:tc>
        <w:tc>
          <w:tcPr>
            <w:tcW w:w="1413" w:type="dxa"/>
            <w:vAlign w:val="center"/>
          </w:tcPr>
          <w:p>
            <w:pPr>
              <w:spacing w:line="276" w:lineRule="auto"/>
              <w:jc w:val="center"/>
              <w:rPr>
                <w:sz w:val="20"/>
                <w:szCs w:val="20"/>
              </w:rPr>
            </w:pPr>
            <w:r>
              <w:rPr>
                <w:sz w:val="20"/>
                <w:szCs w:val="20"/>
              </w:rPr>
              <w:t>±0.1%</w:t>
            </w:r>
          </w:p>
        </w:tc>
        <w:tc>
          <w:tcPr>
            <w:tcW w:w="1412" w:type="dxa"/>
            <w:vAlign w:val="center"/>
          </w:tcPr>
          <w:p>
            <w:pPr>
              <w:spacing w:line="276" w:lineRule="auto"/>
              <w:jc w:val="center"/>
              <w:rPr>
                <w:sz w:val="20"/>
                <w:szCs w:val="20"/>
              </w:rPr>
            </w:pPr>
            <w:r>
              <w:rPr>
                <w:sz w:val="20"/>
                <w:szCs w:val="20"/>
              </w:rPr>
              <w:t>/</w:t>
            </w:r>
          </w:p>
        </w:tc>
        <w:tc>
          <w:tcPr>
            <w:tcW w:w="1413" w:type="dxa"/>
            <w:vAlign w:val="center"/>
          </w:tcPr>
          <w:p>
            <w:pPr>
              <w:spacing w:line="276" w:lineRule="auto"/>
              <w:jc w:val="center"/>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252" w:type="dxa"/>
            <w:vAlign w:val="center"/>
          </w:tcPr>
          <w:p>
            <w:pPr>
              <w:spacing w:line="276" w:lineRule="auto"/>
              <w:jc w:val="center"/>
              <w:rPr>
                <w:sz w:val="20"/>
                <w:szCs w:val="20"/>
              </w:rPr>
            </w:pPr>
            <w:r>
              <w:rPr>
                <w:rFonts w:hint="eastAsia"/>
                <w:sz w:val="20"/>
                <w:szCs w:val="20"/>
              </w:rPr>
              <w:t>电流</w:t>
            </w:r>
          </w:p>
        </w:tc>
        <w:tc>
          <w:tcPr>
            <w:tcW w:w="1412" w:type="dxa"/>
            <w:vAlign w:val="center"/>
          </w:tcPr>
          <w:p>
            <w:pPr>
              <w:spacing w:line="276" w:lineRule="auto"/>
              <w:jc w:val="center"/>
              <w:rPr>
                <w:sz w:val="20"/>
                <w:szCs w:val="20"/>
              </w:rPr>
            </w:pPr>
            <w:r>
              <w:rPr>
                <w:sz w:val="20"/>
                <w:szCs w:val="20"/>
              </w:rPr>
              <w:t>±1%</w:t>
            </w:r>
          </w:p>
        </w:tc>
        <w:tc>
          <w:tcPr>
            <w:tcW w:w="1413" w:type="dxa"/>
            <w:vAlign w:val="center"/>
          </w:tcPr>
          <w:p>
            <w:pPr>
              <w:spacing w:line="276" w:lineRule="auto"/>
              <w:jc w:val="center"/>
              <w:rPr>
                <w:sz w:val="20"/>
                <w:szCs w:val="20"/>
              </w:rPr>
            </w:pPr>
            <w:r>
              <w:rPr>
                <w:sz w:val="20"/>
                <w:szCs w:val="20"/>
              </w:rPr>
              <w:t>±1%</w:t>
            </w:r>
          </w:p>
        </w:tc>
        <w:tc>
          <w:tcPr>
            <w:tcW w:w="1413" w:type="dxa"/>
            <w:vAlign w:val="center"/>
          </w:tcPr>
          <w:p>
            <w:pPr>
              <w:spacing w:line="276" w:lineRule="auto"/>
              <w:jc w:val="center"/>
              <w:rPr>
                <w:sz w:val="20"/>
                <w:szCs w:val="20"/>
              </w:rPr>
            </w:pPr>
            <w:r>
              <w:rPr>
                <w:sz w:val="20"/>
                <w:szCs w:val="20"/>
              </w:rPr>
              <w:t>±1%</w:t>
            </w:r>
          </w:p>
        </w:tc>
        <w:tc>
          <w:tcPr>
            <w:tcW w:w="1412" w:type="dxa"/>
            <w:vAlign w:val="center"/>
          </w:tcPr>
          <w:p>
            <w:pPr>
              <w:spacing w:line="276" w:lineRule="auto"/>
              <w:jc w:val="center"/>
              <w:rPr>
                <w:sz w:val="20"/>
                <w:szCs w:val="20"/>
              </w:rPr>
            </w:pPr>
            <w:r>
              <w:rPr>
                <w:sz w:val="20"/>
                <w:szCs w:val="20"/>
              </w:rPr>
              <w:t>/</w:t>
            </w:r>
          </w:p>
        </w:tc>
        <w:tc>
          <w:tcPr>
            <w:tcW w:w="1413" w:type="dxa"/>
            <w:vAlign w:val="center"/>
          </w:tcPr>
          <w:p>
            <w:pPr>
              <w:spacing w:line="276" w:lineRule="auto"/>
              <w:jc w:val="center"/>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252" w:type="dxa"/>
            <w:vAlign w:val="center"/>
          </w:tcPr>
          <w:p>
            <w:pPr>
              <w:spacing w:line="276" w:lineRule="auto"/>
              <w:jc w:val="center"/>
              <w:rPr>
                <w:sz w:val="20"/>
                <w:szCs w:val="20"/>
              </w:rPr>
            </w:pPr>
            <w:r>
              <w:rPr>
                <w:rFonts w:hint="eastAsia"/>
                <w:sz w:val="20"/>
                <w:szCs w:val="20"/>
              </w:rPr>
              <w:t>温度</w:t>
            </w:r>
          </w:p>
        </w:tc>
        <w:tc>
          <w:tcPr>
            <w:tcW w:w="1412" w:type="dxa"/>
            <w:vAlign w:val="center"/>
          </w:tcPr>
          <w:p>
            <w:pPr>
              <w:spacing w:line="276" w:lineRule="auto"/>
              <w:jc w:val="center"/>
              <w:rPr>
                <w:sz w:val="20"/>
                <w:szCs w:val="20"/>
              </w:rPr>
            </w:pPr>
            <w:r>
              <w:rPr>
                <w:sz w:val="20"/>
                <w:szCs w:val="20"/>
              </w:rPr>
              <w:t>±2℃</w:t>
            </w:r>
          </w:p>
        </w:tc>
        <w:tc>
          <w:tcPr>
            <w:tcW w:w="1413" w:type="dxa"/>
            <w:vAlign w:val="center"/>
          </w:tcPr>
          <w:p>
            <w:pPr>
              <w:spacing w:line="276" w:lineRule="auto"/>
              <w:jc w:val="center"/>
              <w:rPr>
                <w:sz w:val="20"/>
                <w:szCs w:val="20"/>
              </w:rPr>
            </w:pPr>
            <w:r>
              <w:rPr>
                <w:sz w:val="20"/>
                <w:szCs w:val="20"/>
              </w:rPr>
              <w:t>±2K</w:t>
            </w:r>
          </w:p>
        </w:tc>
        <w:tc>
          <w:tcPr>
            <w:tcW w:w="1413" w:type="dxa"/>
            <w:vAlign w:val="center"/>
          </w:tcPr>
          <w:p>
            <w:pPr>
              <w:spacing w:line="276" w:lineRule="auto"/>
              <w:jc w:val="center"/>
              <w:rPr>
                <w:sz w:val="20"/>
                <w:szCs w:val="20"/>
              </w:rPr>
            </w:pPr>
            <w:r>
              <w:rPr>
                <w:sz w:val="20"/>
                <w:szCs w:val="20"/>
              </w:rPr>
              <w:t>±2K</w:t>
            </w:r>
          </w:p>
        </w:tc>
        <w:tc>
          <w:tcPr>
            <w:tcW w:w="1412" w:type="dxa"/>
            <w:vAlign w:val="center"/>
          </w:tcPr>
          <w:p>
            <w:pPr>
              <w:spacing w:line="276" w:lineRule="auto"/>
              <w:jc w:val="center"/>
              <w:rPr>
                <w:sz w:val="20"/>
                <w:szCs w:val="20"/>
              </w:rPr>
            </w:pPr>
            <w:r>
              <w:rPr>
                <w:sz w:val="20"/>
                <w:szCs w:val="20"/>
              </w:rPr>
              <w:t>/</w:t>
            </w:r>
          </w:p>
        </w:tc>
        <w:tc>
          <w:tcPr>
            <w:tcW w:w="1413" w:type="dxa"/>
            <w:vAlign w:val="center"/>
          </w:tcPr>
          <w:p>
            <w:pPr>
              <w:spacing w:line="276" w:lineRule="auto"/>
              <w:jc w:val="center"/>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252" w:type="dxa"/>
            <w:vAlign w:val="center"/>
          </w:tcPr>
          <w:p>
            <w:pPr>
              <w:spacing w:line="276" w:lineRule="auto"/>
              <w:jc w:val="center"/>
              <w:rPr>
                <w:sz w:val="20"/>
                <w:szCs w:val="20"/>
              </w:rPr>
            </w:pPr>
            <w:r>
              <w:rPr>
                <w:rFonts w:hint="eastAsia"/>
                <w:sz w:val="20"/>
                <w:szCs w:val="20"/>
              </w:rPr>
              <w:t>时间</w:t>
            </w:r>
          </w:p>
        </w:tc>
        <w:tc>
          <w:tcPr>
            <w:tcW w:w="1412" w:type="dxa"/>
            <w:vAlign w:val="center"/>
          </w:tcPr>
          <w:p>
            <w:pPr>
              <w:spacing w:line="276" w:lineRule="auto"/>
              <w:jc w:val="center"/>
              <w:rPr>
                <w:sz w:val="20"/>
                <w:szCs w:val="20"/>
              </w:rPr>
            </w:pPr>
            <w:r>
              <w:rPr>
                <w:sz w:val="20"/>
                <w:szCs w:val="20"/>
              </w:rPr>
              <w:t>/</w:t>
            </w:r>
          </w:p>
        </w:tc>
        <w:tc>
          <w:tcPr>
            <w:tcW w:w="1413" w:type="dxa"/>
            <w:vAlign w:val="center"/>
          </w:tcPr>
          <w:p>
            <w:pPr>
              <w:spacing w:line="276" w:lineRule="auto"/>
              <w:jc w:val="center"/>
              <w:rPr>
                <w:sz w:val="20"/>
                <w:szCs w:val="20"/>
              </w:rPr>
            </w:pPr>
            <w:r>
              <w:rPr>
                <w:sz w:val="20"/>
                <w:szCs w:val="20"/>
              </w:rPr>
              <w:t>±0.1%</w:t>
            </w:r>
          </w:p>
        </w:tc>
        <w:tc>
          <w:tcPr>
            <w:tcW w:w="1413" w:type="dxa"/>
            <w:vAlign w:val="center"/>
          </w:tcPr>
          <w:p>
            <w:pPr>
              <w:spacing w:line="276" w:lineRule="auto"/>
              <w:jc w:val="center"/>
              <w:rPr>
                <w:sz w:val="20"/>
                <w:szCs w:val="20"/>
              </w:rPr>
            </w:pPr>
            <w:r>
              <w:rPr>
                <w:sz w:val="20"/>
                <w:szCs w:val="20"/>
              </w:rPr>
              <w:t>±0.1%</w:t>
            </w:r>
          </w:p>
        </w:tc>
        <w:tc>
          <w:tcPr>
            <w:tcW w:w="1412" w:type="dxa"/>
            <w:vAlign w:val="center"/>
          </w:tcPr>
          <w:p>
            <w:pPr>
              <w:spacing w:line="276" w:lineRule="auto"/>
              <w:jc w:val="center"/>
              <w:rPr>
                <w:sz w:val="20"/>
                <w:szCs w:val="20"/>
              </w:rPr>
            </w:pPr>
            <w:r>
              <w:rPr>
                <w:sz w:val="20"/>
                <w:szCs w:val="20"/>
              </w:rPr>
              <w:t>/</w:t>
            </w:r>
          </w:p>
        </w:tc>
        <w:tc>
          <w:tcPr>
            <w:tcW w:w="1413" w:type="dxa"/>
            <w:vAlign w:val="center"/>
          </w:tcPr>
          <w:p>
            <w:pPr>
              <w:spacing w:line="276" w:lineRule="auto"/>
              <w:jc w:val="center"/>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252" w:type="dxa"/>
            <w:vAlign w:val="center"/>
          </w:tcPr>
          <w:p>
            <w:pPr>
              <w:spacing w:line="276" w:lineRule="auto"/>
              <w:jc w:val="center"/>
              <w:rPr>
                <w:sz w:val="20"/>
                <w:szCs w:val="20"/>
              </w:rPr>
            </w:pPr>
            <w:r>
              <w:rPr>
                <w:rFonts w:hint="eastAsia"/>
                <w:sz w:val="20"/>
                <w:szCs w:val="20"/>
              </w:rPr>
              <w:t>尺寸</w:t>
            </w:r>
          </w:p>
        </w:tc>
        <w:tc>
          <w:tcPr>
            <w:tcW w:w="1412" w:type="dxa"/>
            <w:vAlign w:val="center"/>
          </w:tcPr>
          <w:p>
            <w:pPr>
              <w:spacing w:line="276" w:lineRule="auto"/>
              <w:jc w:val="center"/>
              <w:rPr>
                <w:sz w:val="20"/>
                <w:szCs w:val="20"/>
              </w:rPr>
            </w:pPr>
            <w:r>
              <w:rPr>
                <w:sz w:val="20"/>
                <w:szCs w:val="20"/>
              </w:rPr>
              <w:t>/</w:t>
            </w:r>
          </w:p>
        </w:tc>
        <w:tc>
          <w:tcPr>
            <w:tcW w:w="1413" w:type="dxa"/>
            <w:vAlign w:val="center"/>
          </w:tcPr>
          <w:p>
            <w:pPr>
              <w:spacing w:line="276" w:lineRule="auto"/>
              <w:jc w:val="center"/>
              <w:rPr>
                <w:sz w:val="20"/>
                <w:szCs w:val="20"/>
              </w:rPr>
            </w:pPr>
            <w:r>
              <w:rPr>
                <w:sz w:val="20"/>
                <w:szCs w:val="20"/>
              </w:rPr>
              <w:t>±0.1%</w:t>
            </w:r>
          </w:p>
        </w:tc>
        <w:tc>
          <w:tcPr>
            <w:tcW w:w="1413" w:type="dxa"/>
            <w:vAlign w:val="center"/>
          </w:tcPr>
          <w:p>
            <w:pPr>
              <w:spacing w:line="276" w:lineRule="auto"/>
              <w:jc w:val="center"/>
              <w:rPr>
                <w:sz w:val="20"/>
                <w:szCs w:val="20"/>
              </w:rPr>
            </w:pPr>
            <w:r>
              <w:rPr>
                <w:sz w:val="20"/>
                <w:szCs w:val="20"/>
              </w:rPr>
              <w:t>±0.1%</w:t>
            </w:r>
          </w:p>
        </w:tc>
        <w:tc>
          <w:tcPr>
            <w:tcW w:w="1412" w:type="dxa"/>
            <w:vAlign w:val="center"/>
          </w:tcPr>
          <w:p>
            <w:pPr>
              <w:spacing w:line="276" w:lineRule="auto"/>
              <w:jc w:val="center"/>
              <w:rPr>
                <w:sz w:val="20"/>
                <w:szCs w:val="20"/>
              </w:rPr>
            </w:pPr>
            <w:r>
              <w:rPr>
                <w:sz w:val="20"/>
                <w:szCs w:val="20"/>
              </w:rPr>
              <w:t>/</w:t>
            </w:r>
          </w:p>
        </w:tc>
        <w:tc>
          <w:tcPr>
            <w:tcW w:w="1413" w:type="dxa"/>
            <w:vAlign w:val="center"/>
          </w:tcPr>
          <w:p>
            <w:pPr>
              <w:spacing w:line="276" w:lineRule="auto"/>
              <w:jc w:val="center"/>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252" w:type="dxa"/>
            <w:vAlign w:val="center"/>
          </w:tcPr>
          <w:p>
            <w:pPr>
              <w:spacing w:line="276" w:lineRule="auto"/>
              <w:jc w:val="center"/>
              <w:rPr>
                <w:sz w:val="20"/>
                <w:szCs w:val="20"/>
              </w:rPr>
            </w:pPr>
            <w:r>
              <w:rPr>
                <w:rFonts w:hint="eastAsia"/>
                <w:sz w:val="20"/>
                <w:szCs w:val="20"/>
              </w:rPr>
              <w:t>质量</w:t>
            </w:r>
          </w:p>
        </w:tc>
        <w:tc>
          <w:tcPr>
            <w:tcW w:w="1412" w:type="dxa"/>
            <w:vAlign w:val="center"/>
          </w:tcPr>
          <w:p>
            <w:pPr>
              <w:spacing w:line="276" w:lineRule="auto"/>
              <w:jc w:val="center"/>
              <w:rPr>
                <w:sz w:val="20"/>
                <w:szCs w:val="20"/>
              </w:rPr>
            </w:pPr>
            <w:r>
              <w:rPr>
                <w:sz w:val="20"/>
                <w:szCs w:val="20"/>
              </w:rPr>
              <w:t>/</w:t>
            </w:r>
          </w:p>
        </w:tc>
        <w:tc>
          <w:tcPr>
            <w:tcW w:w="1413" w:type="dxa"/>
            <w:vAlign w:val="center"/>
          </w:tcPr>
          <w:p>
            <w:pPr>
              <w:spacing w:line="276" w:lineRule="auto"/>
              <w:jc w:val="center"/>
              <w:rPr>
                <w:sz w:val="20"/>
                <w:szCs w:val="20"/>
              </w:rPr>
            </w:pPr>
            <w:r>
              <w:rPr>
                <w:sz w:val="20"/>
                <w:szCs w:val="20"/>
              </w:rPr>
              <w:t>±0.1%</w:t>
            </w:r>
          </w:p>
        </w:tc>
        <w:tc>
          <w:tcPr>
            <w:tcW w:w="1413" w:type="dxa"/>
            <w:vAlign w:val="center"/>
          </w:tcPr>
          <w:p>
            <w:pPr>
              <w:spacing w:line="276" w:lineRule="auto"/>
              <w:jc w:val="center"/>
              <w:rPr>
                <w:sz w:val="20"/>
                <w:szCs w:val="20"/>
              </w:rPr>
            </w:pPr>
            <w:r>
              <w:rPr>
                <w:sz w:val="20"/>
                <w:szCs w:val="20"/>
              </w:rPr>
              <w:t>±0.1%</w:t>
            </w:r>
          </w:p>
        </w:tc>
        <w:tc>
          <w:tcPr>
            <w:tcW w:w="1412" w:type="dxa"/>
            <w:vAlign w:val="center"/>
          </w:tcPr>
          <w:p>
            <w:pPr>
              <w:spacing w:line="276" w:lineRule="auto"/>
              <w:jc w:val="center"/>
              <w:rPr>
                <w:sz w:val="20"/>
                <w:szCs w:val="20"/>
              </w:rPr>
            </w:pPr>
            <w:r>
              <w:rPr>
                <w:sz w:val="20"/>
                <w:szCs w:val="20"/>
              </w:rPr>
              <w:t>/</w:t>
            </w:r>
          </w:p>
        </w:tc>
        <w:tc>
          <w:tcPr>
            <w:tcW w:w="1413" w:type="dxa"/>
            <w:vAlign w:val="center"/>
          </w:tcPr>
          <w:p>
            <w:pPr>
              <w:spacing w:line="276" w:lineRule="auto"/>
              <w:jc w:val="center"/>
              <w:rPr>
                <w:sz w:val="20"/>
                <w:szCs w:val="20"/>
              </w:rPr>
            </w:pPr>
            <w:r>
              <w:rPr>
                <w:sz w:val="20"/>
                <w:szCs w:val="20"/>
              </w:rPr>
              <w:t>/</w:t>
            </w:r>
          </w:p>
        </w:tc>
      </w:tr>
    </w:tbl>
    <w:p>
      <w:pPr>
        <w:spacing w:line="360" w:lineRule="auto"/>
        <w:ind w:firstLine="420"/>
        <w:jc w:val="both"/>
        <w:rPr>
          <w:rFonts w:ascii="宋体" w:hAnsi="宋体"/>
          <w:szCs w:val="21"/>
        </w:rPr>
      </w:pPr>
      <w:r>
        <w:rPr>
          <w:szCs w:val="21"/>
        </w:rPr>
        <w:t>GB 38031-2020</w:t>
      </w:r>
      <w:r>
        <w:rPr>
          <w:rFonts w:ascii="宋体" w:hAnsi="宋体"/>
          <w:szCs w:val="21"/>
        </w:rPr>
        <w:t>对测试过程中误差的要求为电压、电流为</w:t>
      </w:r>
      <w:r>
        <w:rPr>
          <w:szCs w:val="21"/>
        </w:rPr>
        <w:t>±1%</w:t>
      </w:r>
      <w:r>
        <w:rPr>
          <w:rFonts w:ascii="宋体" w:hAnsi="宋体"/>
          <w:szCs w:val="21"/>
        </w:rPr>
        <w:t>，温度为</w:t>
      </w:r>
      <w:r>
        <w:rPr>
          <w:szCs w:val="21"/>
        </w:rPr>
        <w:t>±2℃</w:t>
      </w:r>
      <w:r>
        <w:rPr>
          <w:rFonts w:ascii="宋体" w:hAnsi="宋体"/>
          <w:szCs w:val="21"/>
        </w:rPr>
        <w:t>；国外标准</w:t>
      </w:r>
      <w:r>
        <w:rPr>
          <w:szCs w:val="21"/>
        </w:rPr>
        <w:t>ISO 6469-1:2019、IEC 62660-3:2022</w:t>
      </w:r>
      <w:r>
        <w:rPr>
          <w:rFonts w:ascii="宋体" w:hAnsi="宋体"/>
          <w:szCs w:val="21"/>
        </w:rPr>
        <w:t>对电流</w:t>
      </w:r>
      <w:r>
        <w:rPr>
          <w:szCs w:val="21"/>
        </w:rPr>
        <w:t>（±1%）</w:t>
      </w:r>
      <w:r>
        <w:rPr>
          <w:rFonts w:ascii="宋体" w:hAnsi="宋体"/>
          <w:szCs w:val="21"/>
        </w:rPr>
        <w:t>、温度</w:t>
      </w:r>
      <w:r>
        <w:rPr>
          <w:szCs w:val="21"/>
        </w:rPr>
        <w:t>（±2K）</w:t>
      </w:r>
      <w:r>
        <w:rPr>
          <w:rFonts w:ascii="宋体" w:hAnsi="宋体"/>
          <w:szCs w:val="21"/>
        </w:rPr>
        <w:t>、时间</w:t>
      </w:r>
      <w:r>
        <w:rPr>
          <w:szCs w:val="21"/>
        </w:rPr>
        <w:t>（±0.1%）</w:t>
      </w:r>
      <w:r>
        <w:rPr>
          <w:rFonts w:ascii="宋体" w:hAnsi="宋体"/>
          <w:szCs w:val="21"/>
        </w:rPr>
        <w:t>、尺寸</w:t>
      </w:r>
      <w:r>
        <w:rPr>
          <w:szCs w:val="21"/>
        </w:rPr>
        <w:t>（±0.1%）</w:t>
      </w:r>
      <w:r>
        <w:rPr>
          <w:rFonts w:ascii="宋体" w:hAnsi="宋体"/>
          <w:szCs w:val="21"/>
        </w:rPr>
        <w:t>、质量</w:t>
      </w:r>
      <w:r>
        <w:rPr>
          <w:szCs w:val="21"/>
        </w:rPr>
        <w:t>（±0.1%）</w:t>
      </w:r>
      <w:r>
        <w:rPr>
          <w:rFonts w:ascii="宋体" w:hAnsi="宋体"/>
          <w:szCs w:val="21"/>
        </w:rPr>
        <w:t>的要求一致，</w:t>
      </w:r>
      <w:r>
        <w:rPr>
          <w:szCs w:val="21"/>
        </w:rPr>
        <w:t>ISO 6469-1:2019</w:t>
      </w:r>
      <w:r>
        <w:rPr>
          <w:rFonts w:ascii="宋体" w:hAnsi="宋体"/>
          <w:szCs w:val="21"/>
        </w:rPr>
        <w:t>对电压的要求与国标一致为</w:t>
      </w:r>
      <w:r>
        <w:rPr>
          <w:szCs w:val="21"/>
        </w:rPr>
        <w:t>±1%， IEC 62660-3:2022</w:t>
      </w:r>
      <w:r>
        <w:rPr>
          <w:rFonts w:ascii="宋体" w:hAnsi="宋体"/>
          <w:szCs w:val="21"/>
        </w:rPr>
        <w:t>对电压的要求为</w:t>
      </w:r>
      <w:r>
        <w:rPr>
          <w:szCs w:val="21"/>
        </w:rPr>
        <w:t>±0.1%</w:t>
      </w:r>
      <w:r>
        <w:rPr>
          <w:rFonts w:ascii="宋体" w:hAnsi="宋体"/>
          <w:szCs w:val="21"/>
        </w:rPr>
        <w:t>。</w:t>
      </w:r>
      <w:r>
        <w:rPr>
          <w:rFonts w:hint="eastAsia" w:ascii="宋体" w:hAnsi="宋体"/>
          <w:szCs w:val="21"/>
        </w:rPr>
        <w:t>与国际标准</w:t>
      </w:r>
      <w:r>
        <w:rPr>
          <w:szCs w:val="21"/>
        </w:rPr>
        <w:t>ISO 6469-1:2019、IEC 62660-3:2022</w:t>
      </w:r>
      <w:r>
        <w:rPr>
          <w:rFonts w:hint="eastAsia" w:ascii="宋体" w:hAnsi="宋体"/>
          <w:szCs w:val="21"/>
        </w:rPr>
        <w:t>相协调，增加时间、尺寸、质量的测量误差要求。</w:t>
      </w:r>
    </w:p>
    <w:p>
      <w:pPr>
        <w:spacing w:line="400" w:lineRule="exact"/>
        <w:ind w:firstLine="420"/>
        <w:rPr>
          <w:rFonts w:ascii="宋体" w:hAnsi="宋体"/>
        </w:rPr>
      </w:pPr>
      <w:r>
        <w:rPr>
          <w:rFonts w:ascii="宋体" w:hAnsi="宋体"/>
        </w:rPr>
        <w:t>5</w:t>
      </w:r>
      <w:r>
        <w:rPr>
          <w:rFonts w:hint="eastAsia" w:ascii="宋体" w:hAnsi="宋体"/>
        </w:rPr>
        <w:t>）</w:t>
      </w:r>
      <w:r>
        <w:rPr>
          <w:rFonts w:ascii="宋体" w:hAnsi="宋体"/>
        </w:rPr>
        <w:t>数据记录与记录间隔</w:t>
      </w:r>
    </w:p>
    <w:p>
      <w:pPr>
        <w:spacing w:line="360" w:lineRule="auto"/>
        <w:ind w:firstLine="420"/>
        <w:jc w:val="both"/>
        <w:rPr>
          <w:rFonts w:ascii="宋体" w:hAnsi="宋体"/>
          <w:szCs w:val="21"/>
        </w:rPr>
      </w:pPr>
      <w:r>
        <w:rPr>
          <w:rFonts w:hint="eastAsia" w:ascii="宋体" w:hAnsi="宋体"/>
          <w:szCs w:val="21"/>
        </w:rPr>
        <w:t>数据记录方面，</w:t>
      </w:r>
      <w:r>
        <w:rPr>
          <w:szCs w:val="21"/>
        </w:rPr>
        <w:t>GB 38031</w:t>
      </w:r>
      <w:r>
        <w:rPr>
          <w:rFonts w:hint="eastAsia"/>
          <w:szCs w:val="21"/>
          <w:lang w:eastAsia="zh-CN"/>
        </w:rPr>
        <w:t>—</w:t>
      </w:r>
      <w:r>
        <w:rPr>
          <w:szCs w:val="21"/>
        </w:rPr>
        <w:t>2020</w:t>
      </w:r>
      <w:r>
        <w:rPr>
          <w:rFonts w:ascii="宋体" w:hAnsi="宋体"/>
          <w:szCs w:val="21"/>
        </w:rPr>
        <w:t>中要求除在某些具体测试项目中另有说明，否则测试数据（如时间、温度、电流和电压等）的记录间隔应不大于</w:t>
      </w:r>
      <w:r>
        <w:rPr>
          <w:szCs w:val="21"/>
        </w:rPr>
        <w:t>100s</w:t>
      </w:r>
      <w:r>
        <w:rPr>
          <w:rFonts w:ascii="宋体" w:hAnsi="宋体"/>
          <w:szCs w:val="21"/>
        </w:rPr>
        <w:t>，国际标准</w:t>
      </w:r>
      <w:r>
        <w:rPr>
          <w:szCs w:val="21"/>
        </w:rPr>
        <w:t>ISO 6469-1:2019</w:t>
      </w:r>
      <w:r>
        <w:rPr>
          <w:rFonts w:ascii="宋体" w:hAnsi="宋体"/>
          <w:szCs w:val="21"/>
        </w:rPr>
        <w:t>中要求时间、温度、电流和电压的值应至少每</w:t>
      </w:r>
      <w:r>
        <w:rPr>
          <w:szCs w:val="21"/>
        </w:rPr>
        <w:t>5%</w:t>
      </w:r>
      <w:r>
        <w:rPr>
          <w:rFonts w:ascii="宋体" w:hAnsi="宋体"/>
          <w:szCs w:val="21"/>
        </w:rPr>
        <w:t>变化值记录一次；</w:t>
      </w:r>
      <w:r>
        <w:rPr>
          <w:szCs w:val="21"/>
        </w:rPr>
        <w:t>EVS GTR</w:t>
      </w:r>
      <w:r>
        <w:rPr>
          <w:rFonts w:ascii="宋体" w:hAnsi="宋体"/>
          <w:szCs w:val="21"/>
        </w:rPr>
        <w:t>中要求数据记录和处理分辨率为</w:t>
      </w:r>
      <w:r>
        <w:rPr>
          <w:szCs w:val="21"/>
        </w:rPr>
        <w:t>15s</w:t>
      </w:r>
      <w:r>
        <w:rPr>
          <w:rFonts w:ascii="宋体" w:hAnsi="宋体"/>
          <w:szCs w:val="21"/>
        </w:rPr>
        <w:t>。在实际执行过程中对测试过程中数据通常会采用</w:t>
      </w:r>
      <w:r>
        <w:rPr>
          <w:szCs w:val="21"/>
        </w:rPr>
        <w:t>1s</w:t>
      </w:r>
      <w:r>
        <w:rPr>
          <w:rFonts w:ascii="宋体" w:hAnsi="宋体"/>
          <w:szCs w:val="21"/>
        </w:rPr>
        <w:t>的记录间隔，同时兼顾测试判定条件（如热扩散要求</w:t>
      </w:r>
      <w:r>
        <w:rPr>
          <w:szCs w:val="21"/>
        </w:rPr>
        <w:t>1℃/s</w:t>
      </w:r>
      <w:r>
        <w:rPr>
          <w:rFonts w:ascii="宋体" w:hAnsi="宋体"/>
          <w:szCs w:val="21"/>
        </w:rPr>
        <w:t>温度变化连续</w:t>
      </w:r>
      <w:r>
        <w:rPr>
          <w:szCs w:val="21"/>
        </w:rPr>
        <w:t>3s</w:t>
      </w:r>
      <w:r>
        <w:rPr>
          <w:rFonts w:ascii="宋体" w:hAnsi="宋体"/>
          <w:szCs w:val="21"/>
        </w:rPr>
        <w:t>），静置过程会采用</w:t>
      </w:r>
      <w:r>
        <w:rPr>
          <w:szCs w:val="21"/>
        </w:rPr>
        <w:t>10s</w:t>
      </w:r>
      <w:r>
        <w:rPr>
          <w:rFonts w:ascii="宋体" w:hAnsi="宋体"/>
          <w:szCs w:val="21"/>
        </w:rPr>
        <w:t>的记录间隔，此条款国标要求高于国际标准的要求。</w:t>
      </w:r>
      <w:r>
        <w:rPr>
          <w:rFonts w:hint="eastAsia" w:ascii="宋体" w:hAnsi="宋体"/>
          <w:szCs w:val="21"/>
        </w:rPr>
        <w:t>与国际标准相协调，参照</w:t>
      </w:r>
      <w:r>
        <w:rPr>
          <w:szCs w:val="21"/>
        </w:rPr>
        <w:t>EVS GTR</w:t>
      </w:r>
      <w:r>
        <w:rPr>
          <w:rFonts w:ascii="宋体" w:hAnsi="宋体"/>
          <w:szCs w:val="21"/>
        </w:rPr>
        <w:t>中要求</w:t>
      </w:r>
      <w:r>
        <w:rPr>
          <w:rFonts w:hint="eastAsia" w:ascii="宋体" w:hAnsi="宋体"/>
          <w:szCs w:val="21"/>
        </w:rPr>
        <w:t>修改最小数据记录间隔</w:t>
      </w:r>
      <w:r>
        <w:rPr>
          <w:rFonts w:ascii="宋体" w:hAnsi="宋体"/>
          <w:szCs w:val="21"/>
        </w:rPr>
        <w:t>为</w:t>
      </w:r>
      <w:r>
        <w:rPr>
          <w:szCs w:val="21"/>
        </w:rPr>
        <w:t>15s</w:t>
      </w:r>
      <w:r>
        <w:rPr>
          <w:rFonts w:hint="eastAsia" w:ascii="宋体" w:hAnsi="宋体"/>
          <w:szCs w:val="21"/>
        </w:rPr>
        <w:t>。</w:t>
      </w:r>
    </w:p>
    <w:p>
      <w:pPr>
        <w:pStyle w:val="19"/>
        <w:numPr>
          <w:ilvl w:val="0"/>
          <w:numId w:val="7"/>
        </w:numPr>
        <w:spacing w:line="360" w:lineRule="auto"/>
        <w:jc w:val="both"/>
        <w:rPr>
          <w:rFonts w:ascii="宋体" w:hAnsi="宋体"/>
        </w:rPr>
      </w:pPr>
      <w:r>
        <w:rPr>
          <w:rFonts w:hint="eastAsia" w:ascii="宋体" w:hAnsi="宋体"/>
        </w:rPr>
        <w:t>预处理</w:t>
      </w:r>
    </w:p>
    <w:p>
      <w:pPr>
        <w:spacing w:line="360" w:lineRule="auto"/>
        <w:ind w:firstLine="400"/>
        <w:jc w:val="center"/>
        <w:rPr>
          <w:sz w:val="20"/>
        </w:rPr>
      </w:pPr>
      <w:r>
        <w:rPr>
          <w:rFonts w:hint="eastAsia"/>
          <w:sz w:val="20"/>
        </w:rPr>
        <w:t>表</w:t>
      </w:r>
      <w:r>
        <w:rPr>
          <w:sz w:val="20"/>
        </w:rPr>
        <w:t>11</w:t>
      </w:r>
      <w:r>
        <w:rPr>
          <w:rFonts w:hint="eastAsia"/>
          <w:sz w:val="20"/>
        </w:rPr>
        <w:t>：电池单体预处理要求对比</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8"/>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4128" w:type="dxa"/>
            <w:vAlign w:val="center"/>
          </w:tcPr>
          <w:p>
            <w:pPr>
              <w:widowControl w:val="0"/>
              <w:spacing w:line="276" w:lineRule="auto"/>
              <w:jc w:val="center"/>
              <w:rPr>
                <w:sz w:val="20"/>
              </w:rPr>
            </w:pPr>
            <w:r>
              <w:rPr>
                <w:sz w:val="20"/>
              </w:rPr>
              <w:t>GB 38031-2020</w:t>
            </w:r>
          </w:p>
        </w:tc>
        <w:tc>
          <w:tcPr>
            <w:tcW w:w="4140" w:type="dxa"/>
            <w:vAlign w:val="center"/>
          </w:tcPr>
          <w:p>
            <w:pPr>
              <w:widowControl w:val="0"/>
              <w:spacing w:line="276" w:lineRule="auto"/>
              <w:jc w:val="center"/>
              <w:rPr>
                <w:sz w:val="20"/>
              </w:rPr>
            </w:pPr>
            <w:r>
              <w:rPr>
                <w:sz w:val="20"/>
              </w:rPr>
              <w:t>IEC 62660-3:2022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6" w:hRule="atLeast"/>
        </w:trPr>
        <w:tc>
          <w:tcPr>
            <w:tcW w:w="4128" w:type="dxa"/>
            <w:vAlign w:val="center"/>
          </w:tcPr>
          <w:p>
            <w:pPr>
              <w:widowControl w:val="0"/>
              <w:spacing w:line="276" w:lineRule="auto"/>
              <w:jc w:val="both"/>
              <w:rPr>
                <w:kern w:val="0"/>
                <w:sz w:val="20"/>
                <w:szCs w:val="20"/>
              </w:rPr>
            </w:pPr>
            <w:r>
              <w:rPr>
                <w:kern w:val="0"/>
                <w:sz w:val="20"/>
                <w:szCs w:val="20"/>
              </w:rPr>
              <w:t>标准充电：制造商规定且不小于1/3C电流放电至制造商规定的放电终止电压，搁置1h（或制造商提供不大于1h的时间），后按照制造商提供的充电方法进行充电，搁置1h（或制造商提供不大于1h的时间）；标准充电方法为以制造商规定且不小于1/3C电流充电至规定的充电终止电压后转恒压充电，至充电流小于0.05C后停止充电。</w:t>
            </w:r>
          </w:p>
        </w:tc>
        <w:tc>
          <w:tcPr>
            <w:tcW w:w="4140" w:type="dxa"/>
            <w:vAlign w:val="center"/>
          </w:tcPr>
          <w:p>
            <w:pPr>
              <w:widowControl w:val="0"/>
              <w:spacing w:line="276" w:lineRule="auto"/>
              <w:jc w:val="both"/>
              <w:rPr>
                <w:kern w:val="0"/>
                <w:sz w:val="20"/>
                <w:szCs w:val="20"/>
              </w:rPr>
            </w:pPr>
            <w:r>
              <w:rPr>
                <w:kern w:val="0"/>
                <w:sz w:val="20"/>
                <w:szCs w:val="20"/>
              </w:rPr>
              <w:t>标准充电：电池应在室温下按照</w:t>
            </w:r>
            <w:r>
              <w:rPr>
                <w:sz w:val="20"/>
              </w:rPr>
              <w:t>1/3C（BEV）</w:t>
            </w:r>
            <w:r>
              <w:rPr>
                <w:kern w:val="0"/>
                <w:sz w:val="20"/>
                <w:szCs w:val="20"/>
              </w:rPr>
              <w:t>和</w:t>
            </w:r>
            <w:r>
              <w:rPr>
                <w:sz w:val="20"/>
              </w:rPr>
              <w:t>1C（HEV）</w:t>
            </w:r>
            <w:r>
              <w:rPr>
                <w:kern w:val="0"/>
                <w:sz w:val="20"/>
                <w:szCs w:val="20"/>
              </w:rPr>
              <w:t>恒定电流放电，直至电池制造商指定的放电结束电压。然后，在室温下，按照电池制造商声明的充电方法对电池进行充电。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4128" w:type="dxa"/>
            <w:vAlign w:val="center"/>
          </w:tcPr>
          <w:p>
            <w:pPr>
              <w:widowControl w:val="0"/>
              <w:spacing w:line="276" w:lineRule="auto"/>
              <w:jc w:val="both"/>
              <w:rPr>
                <w:kern w:val="0"/>
                <w:sz w:val="20"/>
                <w:szCs w:val="20"/>
              </w:rPr>
            </w:pPr>
            <w:r>
              <w:rPr>
                <w:kern w:val="0"/>
                <w:sz w:val="20"/>
                <w:szCs w:val="20"/>
              </w:rPr>
              <w:t>容量测试：</w:t>
            </w:r>
          </w:p>
          <w:p>
            <w:pPr>
              <w:widowControl w:val="0"/>
              <w:spacing w:line="276" w:lineRule="auto"/>
              <w:jc w:val="both"/>
              <w:rPr>
                <w:kern w:val="0"/>
                <w:sz w:val="20"/>
                <w:szCs w:val="20"/>
              </w:rPr>
            </w:pPr>
            <w:r>
              <w:rPr>
                <w:kern w:val="0"/>
                <w:sz w:val="20"/>
                <w:szCs w:val="20"/>
              </w:rPr>
              <w:t>a）标准充电；</w:t>
            </w:r>
          </w:p>
          <w:p>
            <w:pPr>
              <w:widowControl w:val="0"/>
              <w:spacing w:line="276" w:lineRule="auto"/>
              <w:jc w:val="both"/>
              <w:rPr>
                <w:kern w:val="0"/>
                <w:sz w:val="20"/>
                <w:szCs w:val="20"/>
              </w:rPr>
            </w:pPr>
            <w:r>
              <w:rPr>
                <w:kern w:val="0"/>
                <w:sz w:val="20"/>
                <w:szCs w:val="20"/>
              </w:rPr>
              <w:t>b）以制造商规定且不小于1/3C电流放电至规定的终止条件；</w:t>
            </w:r>
          </w:p>
          <w:p>
            <w:pPr>
              <w:widowControl w:val="0"/>
              <w:spacing w:line="276" w:lineRule="auto"/>
              <w:jc w:val="both"/>
              <w:rPr>
                <w:kern w:val="0"/>
                <w:sz w:val="20"/>
                <w:szCs w:val="20"/>
              </w:rPr>
            </w:pPr>
            <w:r>
              <w:rPr>
                <w:kern w:val="0"/>
                <w:sz w:val="20"/>
                <w:szCs w:val="20"/>
              </w:rPr>
              <w:t>c）静置30min或制造商规定的时间；</w:t>
            </w:r>
          </w:p>
        </w:tc>
        <w:tc>
          <w:tcPr>
            <w:tcW w:w="4140" w:type="dxa"/>
            <w:vAlign w:val="center"/>
          </w:tcPr>
          <w:p>
            <w:pPr>
              <w:widowControl w:val="0"/>
              <w:spacing w:line="276" w:lineRule="auto"/>
              <w:jc w:val="both"/>
              <w:rPr>
                <w:kern w:val="0"/>
                <w:sz w:val="20"/>
                <w:szCs w:val="20"/>
              </w:rPr>
            </w:pPr>
            <w:r>
              <w:rPr>
                <w:kern w:val="0"/>
                <w:sz w:val="20"/>
                <w:szCs w:val="20"/>
              </w:rPr>
              <w:t>容量测试：</w:t>
            </w:r>
          </w:p>
          <w:p>
            <w:pPr>
              <w:widowControl w:val="0"/>
              <w:spacing w:line="276" w:lineRule="auto"/>
              <w:jc w:val="both"/>
              <w:rPr>
                <w:kern w:val="0"/>
                <w:sz w:val="20"/>
                <w:szCs w:val="20"/>
              </w:rPr>
            </w:pPr>
            <w:r>
              <w:rPr>
                <w:kern w:val="0"/>
                <w:sz w:val="20"/>
                <w:szCs w:val="20"/>
              </w:rPr>
              <w:t>a）电池应标准充电。充电后，电池温度应</w:t>
            </w:r>
            <w:r>
              <w:rPr>
                <w:rFonts w:hint="eastAsia"/>
                <w:kern w:val="0"/>
                <w:sz w:val="20"/>
                <w:szCs w:val="20"/>
              </w:rPr>
              <w:t>达到热</w:t>
            </w:r>
            <w:r>
              <w:rPr>
                <w:kern w:val="0"/>
                <w:sz w:val="20"/>
                <w:szCs w:val="20"/>
              </w:rPr>
              <w:t>稳定。</w:t>
            </w:r>
          </w:p>
          <w:p>
            <w:pPr>
              <w:widowControl w:val="0"/>
              <w:spacing w:line="276" w:lineRule="auto"/>
              <w:jc w:val="both"/>
              <w:rPr>
                <w:kern w:val="0"/>
                <w:sz w:val="20"/>
                <w:szCs w:val="20"/>
              </w:rPr>
            </w:pPr>
            <w:r>
              <w:rPr>
                <w:kern w:val="0"/>
                <w:sz w:val="20"/>
                <w:szCs w:val="20"/>
              </w:rPr>
              <w:t>b）电池应在室温下按照1/3C（BEV）和1C（HEV）恒定电流放电，直至电池制造商指定的放电结束电压。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28" w:type="dxa"/>
            <w:vAlign w:val="center"/>
          </w:tcPr>
          <w:p>
            <w:pPr>
              <w:widowControl w:val="0"/>
              <w:spacing w:line="276" w:lineRule="auto"/>
              <w:jc w:val="both"/>
              <w:rPr>
                <w:kern w:val="0"/>
                <w:sz w:val="20"/>
                <w:szCs w:val="20"/>
              </w:rPr>
            </w:pPr>
            <w:r>
              <w:rPr>
                <w:kern w:val="0"/>
                <w:sz w:val="20"/>
                <w:szCs w:val="20"/>
              </w:rPr>
              <w:t>循环最多重复5次，如果连续两次放电容量不超过额定容量的3%则</w:t>
            </w:r>
            <w:r>
              <w:rPr>
                <w:rFonts w:hint="eastAsia"/>
                <w:kern w:val="0"/>
                <w:sz w:val="20"/>
                <w:szCs w:val="20"/>
              </w:rPr>
              <w:t>认为</w:t>
            </w:r>
            <w:r>
              <w:rPr>
                <w:kern w:val="0"/>
                <w:sz w:val="20"/>
                <w:szCs w:val="20"/>
              </w:rPr>
              <w:t>完成</w:t>
            </w:r>
            <w:r>
              <w:rPr>
                <w:rFonts w:hint="eastAsia"/>
                <w:kern w:val="0"/>
                <w:sz w:val="20"/>
                <w:szCs w:val="20"/>
              </w:rPr>
              <w:t>了</w:t>
            </w:r>
            <w:r>
              <w:rPr>
                <w:kern w:val="0"/>
                <w:sz w:val="20"/>
                <w:szCs w:val="20"/>
              </w:rPr>
              <w:t>预处理测试</w:t>
            </w:r>
          </w:p>
        </w:tc>
        <w:tc>
          <w:tcPr>
            <w:tcW w:w="4140" w:type="dxa"/>
            <w:vAlign w:val="center"/>
          </w:tcPr>
          <w:p>
            <w:pPr>
              <w:widowControl w:val="0"/>
              <w:spacing w:line="276" w:lineRule="auto"/>
              <w:jc w:val="both"/>
              <w:rPr>
                <w:kern w:val="0"/>
                <w:sz w:val="20"/>
                <w:szCs w:val="20"/>
              </w:rPr>
            </w:pPr>
            <w:r>
              <w:rPr>
                <w:kern w:val="0"/>
                <w:sz w:val="20"/>
                <w:szCs w:val="20"/>
              </w:rPr>
              <w:t>仅进行一次放电容量测试</w:t>
            </w:r>
          </w:p>
        </w:tc>
      </w:tr>
    </w:tbl>
    <w:p>
      <w:pPr>
        <w:spacing w:line="360" w:lineRule="auto"/>
        <w:ind w:firstLine="400"/>
        <w:jc w:val="center"/>
        <w:rPr>
          <w:sz w:val="20"/>
        </w:rPr>
      </w:pPr>
      <w:r>
        <w:rPr>
          <w:rFonts w:hint="eastAsia"/>
          <w:sz w:val="20"/>
        </w:rPr>
        <w:t>表</w:t>
      </w:r>
      <w:r>
        <w:rPr>
          <w:sz w:val="20"/>
        </w:rPr>
        <w:t>12</w:t>
      </w:r>
      <w:r>
        <w:rPr>
          <w:rFonts w:hint="eastAsia"/>
          <w:sz w:val="20"/>
        </w:rPr>
        <w:t>：电池系统预处理要求对比</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1"/>
        <w:gridCol w:w="2800"/>
        <w:gridCol w:w="1480"/>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pct"/>
          </w:tcPr>
          <w:p>
            <w:pPr>
              <w:widowControl w:val="0"/>
              <w:spacing w:line="276" w:lineRule="auto"/>
              <w:jc w:val="center"/>
            </w:pPr>
            <w:r>
              <w:rPr>
                <w:szCs w:val="21"/>
              </w:rPr>
              <w:t>GB 38031</w:t>
            </w:r>
            <w:r>
              <w:rPr>
                <w:rFonts w:hint="eastAsia"/>
                <w:szCs w:val="21"/>
                <w:lang w:eastAsia="zh-CN"/>
              </w:rPr>
              <w:t>—</w:t>
            </w:r>
            <w:r>
              <w:rPr>
                <w:szCs w:val="21"/>
              </w:rPr>
              <w:t>2020</w:t>
            </w:r>
          </w:p>
        </w:tc>
        <w:tc>
          <w:tcPr>
            <w:tcW w:w="1642" w:type="pct"/>
          </w:tcPr>
          <w:p>
            <w:pPr>
              <w:widowControl w:val="0"/>
              <w:spacing w:line="276" w:lineRule="auto"/>
              <w:jc w:val="center"/>
              <w:rPr>
                <w:sz w:val="20"/>
              </w:rPr>
            </w:pPr>
            <w:r>
              <w:rPr>
                <w:sz w:val="20"/>
              </w:rPr>
              <w:t>ISO 6469-1:2019</w:t>
            </w:r>
          </w:p>
        </w:tc>
        <w:tc>
          <w:tcPr>
            <w:tcW w:w="868" w:type="pct"/>
          </w:tcPr>
          <w:p>
            <w:pPr>
              <w:widowControl w:val="0"/>
              <w:spacing w:line="276" w:lineRule="auto"/>
              <w:jc w:val="center"/>
              <w:rPr>
                <w:sz w:val="20"/>
              </w:rPr>
            </w:pPr>
            <w:r>
              <w:rPr>
                <w:sz w:val="20"/>
              </w:rPr>
              <w:t>UN R100</w:t>
            </w:r>
          </w:p>
        </w:tc>
        <w:tc>
          <w:tcPr>
            <w:tcW w:w="868" w:type="pct"/>
          </w:tcPr>
          <w:p>
            <w:pPr>
              <w:widowControl w:val="0"/>
              <w:spacing w:line="276" w:lineRule="auto"/>
              <w:jc w:val="center"/>
              <w:rPr>
                <w:sz w:val="20"/>
              </w:rPr>
            </w:pPr>
            <w:r>
              <w:rPr>
                <w:sz w:val="20"/>
              </w:rPr>
              <w:t>EVS GTR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pct"/>
            <w:vAlign w:val="center"/>
          </w:tcPr>
          <w:p>
            <w:pPr>
              <w:widowControl w:val="0"/>
              <w:spacing w:line="276" w:lineRule="auto"/>
              <w:jc w:val="both"/>
              <w:rPr>
                <w:sz w:val="20"/>
                <w:szCs w:val="20"/>
              </w:rPr>
            </w:pPr>
            <w:r>
              <w:rPr>
                <w:sz w:val="20"/>
                <w:szCs w:val="20"/>
              </w:rPr>
              <w:t>正式开始测试前，电池包或系统的电子部件或BCU应处于正常工作状态。</w:t>
            </w:r>
          </w:p>
          <w:p>
            <w:pPr>
              <w:widowControl w:val="0"/>
              <w:spacing w:line="276" w:lineRule="auto"/>
              <w:jc w:val="both"/>
              <w:rPr>
                <w:sz w:val="20"/>
                <w:szCs w:val="20"/>
              </w:rPr>
            </w:pPr>
            <w:r>
              <w:rPr>
                <w:sz w:val="20"/>
                <w:szCs w:val="20"/>
              </w:rPr>
              <w:t>正式测试开始前，电池包或系统需要先进行预处理循环，以确保测试时试验对象的性能处于激活和稳定的状态。</w:t>
            </w:r>
          </w:p>
        </w:tc>
        <w:tc>
          <w:tcPr>
            <w:tcW w:w="1642" w:type="pct"/>
            <w:vAlign w:val="center"/>
          </w:tcPr>
          <w:p>
            <w:pPr>
              <w:widowControl w:val="0"/>
              <w:spacing w:line="276" w:lineRule="auto"/>
              <w:rPr>
                <w:sz w:val="20"/>
                <w:szCs w:val="20"/>
              </w:rPr>
            </w:pPr>
            <w:r>
              <w:rPr>
                <w:sz w:val="20"/>
                <w:szCs w:val="20"/>
              </w:rPr>
              <w:t>除特殊要求外，所有测试前样品应经过标准循环验证</w:t>
            </w:r>
            <w:r>
              <w:rPr>
                <w:rFonts w:hint="eastAsia"/>
                <w:sz w:val="20"/>
                <w:szCs w:val="20"/>
              </w:rPr>
              <w:t>其</w:t>
            </w:r>
            <w:r>
              <w:rPr>
                <w:sz w:val="20"/>
                <w:szCs w:val="20"/>
              </w:rPr>
              <w:t>基本功能可靠</w:t>
            </w:r>
          </w:p>
        </w:tc>
        <w:tc>
          <w:tcPr>
            <w:tcW w:w="868" w:type="pct"/>
            <w:vAlign w:val="center"/>
          </w:tcPr>
          <w:p>
            <w:pPr>
              <w:widowControl w:val="0"/>
              <w:spacing w:line="276" w:lineRule="auto"/>
              <w:rPr>
                <w:sz w:val="20"/>
                <w:szCs w:val="20"/>
              </w:rPr>
            </w:pPr>
            <w:r>
              <w:rPr>
                <w:sz w:val="20"/>
                <w:szCs w:val="20"/>
              </w:rPr>
              <w:t>/</w:t>
            </w:r>
          </w:p>
        </w:tc>
        <w:tc>
          <w:tcPr>
            <w:tcW w:w="868" w:type="pct"/>
            <w:vAlign w:val="center"/>
          </w:tcPr>
          <w:p>
            <w:pPr>
              <w:widowControl w:val="0"/>
              <w:spacing w:line="276" w:lineRule="auto"/>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pct"/>
            <w:vAlign w:val="center"/>
          </w:tcPr>
          <w:p>
            <w:pPr>
              <w:widowControl w:val="0"/>
              <w:spacing w:line="276" w:lineRule="auto"/>
              <w:jc w:val="both"/>
              <w:rPr>
                <w:sz w:val="20"/>
                <w:szCs w:val="20"/>
              </w:rPr>
            </w:pPr>
            <w:r>
              <w:rPr>
                <w:sz w:val="20"/>
                <w:szCs w:val="20"/>
              </w:rPr>
              <w:t>容量测试：</w:t>
            </w:r>
          </w:p>
          <w:p>
            <w:pPr>
              <w:widowControl w:val="0"/>
              <w:spacing w:line="276" w:lineRule="auto"/>
              <w:jc w:val="both"/>
              <w:rPr>
                <w:sz w:val="20"/>
                <w:szCs w:val="20"/>
              </w:rPr>
            </w:pPr>
            <w:r>
              <w:rPr>
                <w:sz w:val="20"/>
                <w:szCs w:val="20"/>
              </w:rPr>
              <w:t>a）以不小于1/3C电流或制造商推荐方法充电至规定的截至条件；</w:t>
            </w:r>
          </w:p>
          <w:p>
            <w:pPr>
              <w:widowControl w:val="0"/>
              <w:spacing w:line="276" w:lineRule="auto"/>
              <w:jc w:val="both"/>
              <w:rPr>
                <w:sz w:val="20"/>
                <w:szCs w:val="20"/>
              </w:rPr>
            </w:pPr>
            <w:r>
              <w:rPr>
                <w:sz w:val="20"/>
                <w:szCs w:val="20"/>
              </w:rPr>
              <w:t>b）静置30min或制造商规定的时间；</w:t>
            </w:r>
          </w:p>
          <w:p>
            <w:pPr>
              <w:widowControl w:val="0"/>
              <w:spacing w:line="276" w:lineRule="auto"/>
              <w:jc w:val="both"/>
              <w:rPr>
                <w:sz w:val="20"/>
                <w:szCs w:val="20"/>
              </w:rPr>
            </w:pPr>
            <w:r>
              <w:rPr>
                <w:sz w:val="20"/>
                <w:szCs w:val="20"/>
              </w:rPr>
              <w:t>c）以制造商规定且不小于1/3C电流放电至规定的截至条件；</w:t>
            </w:r>
          </w:p>
          <w:p>
            <w:pPr>
              <w:widowControl w:val="0"/>
              <w:spacing w:line="276" w:lineRule="auto"/>
              <w:jc w:val="both"/>
              <w:rPr>
                <w:sz w:val="20"/>
                <w:szCs w:val="20"/>
              </w:rPr>
            </w:pPr>
            <w:r>
              <w:rPr>
                <w:sz w:val="20"/>
                <w:szCs w:val="20"/>
              </w:rPr>
              <w:t>d）静置30min或制造商规定的时间；</w:t>
            </w:r>
          </w:p>
        </w:tc>
        <w:tc>
          <w:tcPr>
            <w:tcW w:w="1642" w:type="pct"/>
            <w:vAlign w:val="center"/>
          </w:tcPr>
          <w:p>
            <w:pPr>
              <w:widowControl w:val="0"/>
              <w:spacing w:line="276" w:lineRule="auto"/>
              <w:jc w:val="both"/>
              <w:rPr>
                <w:sz w:val="20"/>
                <w:szCs w:val="20"/>
              </w:rPr>
            </w:pPr>
            <w:r>
              <w:rPr>
                <w:sz w:val="20"/>
                <w:szCs w:val="20"/>
              </w:rPr>
              <w:t>容量测试：</w:t>
            </w:r>
          </w:p>
          <w:p>
            <w:pPr>
              <w:widowControl w:val="0"/>
              <w:spacing w:line="276" w:lineRule="auto"/>
              <w:jc w:val="both"/>
              <w:rPr>
                <w:sz w:val="20"/>
                <w:szCs w:val="20"/>
              </w:rPr>
            </w:pPr>
            <w:r>
              <w:rPr>
                <w:sz w:val="20"/>
                <w:szCs w:val="20"/>
              </w:rPr>
              <w:t>标准放电：1C或其他供应商规定的方法，至规定的截至条件，静置30min</w:t>
            </w:r>
          </w:p>
          <w:p>
            <w:pPr>
              <w:widowControl w:val="0"/>
              <w:spacing w:line="276" w:lineRule="auto"/>
              <w:jc w:val="both"/>
              <w:rPr>
                <w:sz w:val="20"/>
                <w:szCs w:val="20"/>
              </w:rPr>
            </w:pPr>
            <w:r>
              <w:rPr>
                <w:sz w:val="20"/>
                <w:szCs w:val="20"/>
              </w:rPr>
              <w:t>标准充电：供应商规定的方法至规定的截至条件，静置30min</w:t>
            </w:r>
          </w:p>
        </w:tc>
        <w:tc>
          <w:tcPr>
            <w:tcW w:w="868" w:type="pct"/>
            <w:vAlign w:val="center"/>
          </w:tcPr>
          <w:p>
            <w:pPr>
              <w:widowControl w:val="0"/>
              <w:spacing w:line="276" w:lineRule="auto"/>
              <w:jc w:val="both"/>
              <w:rPr>
                <w:sz w:val="20"/>
                <w:szCs w:val="20"/>
              </w:rPr>
            </w:pPr>
            <w:r>
              <w:rPr>
                <w:sz w:val="20"/>
                <w:szCs w:val="20"/>
              </w:rPr>
              <w:t>标准循环应先标准放电再标准充电，温度为20 ± 10 °C</w:t>
            </w:r>
          </w:p>
          <w:p>
            <w:pPr>
              <w:widowControl w:val="0"/>
              <w:spacing w:line="276" w:lineRule="auto"/>
              <w:jc w:val="both"/>
              <w:rPr>
                <w:sz w:val="20"/>
                <w:szCs w:val="20"/>
              </w:rPr>
            </w:pPr>
            <w:r>
              <w:rPr>
                <w:sz w:val="20"/>
                <w:szCs w:val="20"/>
              </w:rPr>
              <w:t>标准放电：制造商可以自定义，未定义为1C放电</w:t>
            </w:r>
          </w:p>
          <w:p>
            <w:pPr>
              <w:widowControl w:val="0"/>
              <w:spacing w:line="276" w:lineRule="auto"/>
              <w:jc w:val="both"/>
              <w:rPr>
                <w:sz w:val="20"/>
                <w:szCs w:val="20"/>
              </w:rPr>
            </w:pPr>
            <w:r>
              <w:rPr>
                <w:sz w:val="20"/>
                <w:szCs w:val="20"/>
              </w:rPr>
              <w:t>静置：不少于15min</w:t>
            </w:r>
          </w:p>
          <w:p>
            <w:pPr>
              <w:widowControl w:val="0"/>
              <w:spacing w:line="276" w:lineRule="auto"/>
              <w:jc w:val="both"/>
              <w:rPr>
                <w:sz w:val="20"/>
                <w:szCs w:val="20"/>
              </w:rPr>
            </w:pPr>
            <w:r>
              <w:rPr>
                <w:sz w:val="20"/>
                <w:szCs w:val="20"/>
              </w:rPr>
              <w:t>标准充电：制造商可以自定义，未定义的1/3C充电</w:t>
            </w:r>
          </w:p>
        </w:tc>
        <w:tc>
          <w:tcPr>
            <w:tcW w:w="868" w:type="pct"/>
            <w:vAlign w:val="center"/>
          </w:tcPr>
          <w:p>
            <w:pPr>
              <w:widowControl w:val="0"/>
              <w:spacing w:line="276" w:lineRule="auto"/>
              <w:jc w:val="both"/>
              <w:rPr>
                <w:sz w:val="20"/>
                <w:szCs w:val="20"/>
              </w:rPr>
            </w:pPr>
            <w:r>
              <w:rPr>
                <w:sz w:val="20"/>
                <w:szCs w:val="20"/>
              </w:rPr>
              <w:t>标准循环应先标准放电再标准充电，温度为20 ± 10 °C</w:t>
            </w:r>
          </w:p>
          <w:p>
            <w:pPr>
              <w:widowControl w:val="0"/>
              <w:spacing w:line="276" w:lineRule="auto"/>
              <w:jc w:val="both"/>
              <w:rPr>
                <w:sz w:val="20"/>
                <w:szCs w:val="20"/>
              </w:rPr>
            </w:pPr>
            <w:r>
              <w:rPr>
                <w:sz w:val="20"/>
                <w:szCs w:val="20"/>
              </w:rPr>
              <w:t>标准放电：制造商可以自定义，未定义为1C放电</w:t>
            </w:r>
          </w:p>
          <w:p>
            <w:pPr>
              <w:widowControl w:val="0"/>
              <w:spacing w:line="276" w:lineRule="auto"/>
              <w:jc w:val="both"/>
              <w:rPr>
                <w:sz w:val="20"/>
                <w:szCs w:val="20"/>
              </w:rPr>
            </w:pPr>
            <w:r>
              <w:rPr>
                <w:sz w:val="20"/>
                <w:szCs w:val="20"/>
              </w:rPr>
              <w:t>静置：不少于15min</w:t>
            </w:r>
          </w:p>
          <w:p>
            <w:pPr>
              <w:widowControl w:val="0"/>
              <w:spacing w:line="276" w:lineRule="auto"/>
              <w:jc w:val="both"/>
              <w:rPr>
                <w:sz w:val="20"/>
                <w:szCs w:val="20"/>
              </w:rPr>
            </w:pPr>
            <w:r>
              <w:rPr>
                <w:sz w:val="20"/>
                <w:szCs w:val="20"/>
              </w:rPr>
              <w:t>标准充电：制造商可以自定义，未定义的1/3C充电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pct"/>
            <w:vAlign w:val="center"/>
          </w:tcPr>
          <w:p>
            <w:pPr>
              <w:widowControl w:val="0"/>
              <w:spacing w:line="276" w:lineRule="auto"/>
              <w:rPr>
                <w:sz w:val="20"/>
                <w:szCs w:val="20"/>
              </w:rPr>
            </w:pPr>
            <w:r>
              <w:rPr>
                <w:sz w:val="20"/>
                <w:szCs w:val="20"/>
              </w:rPr>
              <w:t>循环最多重复5次，如果连续两次放电容量不超过额定容量的</w:t>
            </w:r>
            <w:r>
              <w:rPr>
                <w:sz w:val="20"/>
              </w:rPr>
              <w:t>3%则</w:t>
            </w:r>
            <w:r>
              <w:rPr>
                <w:sz w:val="20"/>
                <w:szCs w:val="20"/>
              </w:rPr>
              <w:t>完成预处理测试</w:t>
            </w:r>
          </w:p>
        </w:tc>
        <w:tc>
          <w:tcPr>
            <w:tcW w:w="1642" w:type="pct"/>
            <w:vAlign w:val="center"/>
          </w:tcPr>
          <w:p>
            <w:pPr>
              <w:widowControl w:val="0"/>
              <w:spacing w:line="276" w:lineRule="auto"/>
              <w:rPr>
                <w:sz w:val="20"/>
                <w:szCs w:val="20"/>
              </w:rPr>
            </w:pPr>
            <w:r>
              <w:rPr>
                <w:sz w:val="20"/>
                <w:szCs w:val="20"/>
              </w:rPr>
              <w:t>仅进行一次容量测试</w:t>
            </w:r>
          </w:p>
        </w:tc>
        <w:tc>
          <w:tcPr>
            <w:tcW w:w="868" w:type="pct"/>
            <w:vAlign w:val="center"/>
          </w:tcPr>
          <w:p>
            <w:pPr>
              <w:widowControl w:val="0"/>
              <w:spacing w:line="276" w:lineRule="auto"/>
              <w:rPr>
                <w:sz w:val="20"/>
                <w:szCs w:val="20"/>
              </w:rPr>
            </w:pPr>
            <w:r>
              <w:rPr>
                <w:sz w:val="20"/>
                <w:szCs w:val="20"/>
              </w:rPr>
              <w:t>/</w:t>
            </w:r>
          </w:p>
        </w:tc>
        <w:tc>
          <w:tcPr>
            <w:tcW w:w="868" w:type="pct"/>
            <w:vAlign w:val="center"/>
          </w:tcPr>
          <w:p>
            <w:pPr>
              <w:widowControl w:val="0"/>
              <w:spacing w:line="276" w:lineRule="auto"/>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pct"/>
            <w:vAlign w:val="center"/>
          </w:tcPr>
          <w:p>
            <w:pPr>
              <w:widowControl w:val="0"/>
              <w:spacing w:line="276" w:lineRule="auto"/>
              <w:jc w:val="both"/>
              <w:rPr>
                <w:sz w:val="20"/>
                <w:szCs w:val="20"/>
              </w:rPr>
            </w:pPr>
            <w:r>
              <w:rPr>
                <w:sz w:val="20"/>
                <w:szCs w:val="20"/>
              </w:rPr>
              <w:t>满充后至下个项目时间间隔超过24h需要重新标准充电。</w:t>
            </w:r>
          </w:p>
        </w:tc>
        <w:tc>
          <w:tcPr>
            <w:tcW w:w="1642" w:type="pct"/>
            <w:vAlign w:val="center"/>
          </w:tcPr>
          <w:p>
            <w:pPr>
              <w:widowControl w:val="0"/>
              <w:spacing w:line="276" w:lineRule="auto"/>
              <w:jc w:val="both"/>
              <w:rPr>
                <w:sz w:val="20"/>
                <w:szCs w:val="20"/>
              </w:rPr>
            </w:pPr>
            <w:r>
              <w:rPr>
                <w:rFonts w:hint="eastAsia"/>
                <w:sz w:val="20"/>
                <w:szCs w:val="20"/>
                <w:lang w:bidi="ar"/>
              </w:rPr>
              <w:t>标准循环后</w:t>
            </w:r>
            <w:r>
              <w:rPr>
                <w:sz w:val="20"/>
                <w:szCs w:val="20"/>
                <w:lang w:bidi="ar"/>
              </w:rPr>
              <w:t>3h</w:t>
            </w:r>
            <w:r>
              <w:rPr>
                <w:rFonts w:hint="eastAsia"/>
                <w:sz w:val="20"/>
                <w:szCs w:val="20"/>
                <w:lang w:bidi="ar"/>
              </w:rPr>
              <w:t>内应进行测试。根据客户和供应商协商结果，可以延长至</w:t>
            </w:r>
            <w:r>
              <w:rPr>
                <w:sz w:val="20"/>
                <w:szCs w:val="20"/>
                <w:lang w:bidi="ar"/>
              </w:rPr>
              <w:t>24h</w:t>
            </w:r>
            <w:r>
              <w:rPr>
                <w:rFonts w:hint="eastAsia"/>
                <w:sz w:val="20"/>
                <w:szCs w:val="20"/>
                <w:lang w:bidi="ar"/>
              </w:rPr>
              <w:t>，前提是在此期间温度保持在</w:t>
            </w:r>
            <w:r>
              <w:rPr>
                <w:sz w:val="20"/>
                <w:szCs w:val="20"/>
                <w:lang w:bidi="ar"/>
              </w:rPr>
              <w:t>RT</w:t>
            </w:r>
            <w:r>
              <w:rPr>
                <w:rFonts w:ascii="宋体" w:hAnsi="宋体" w:cs="宋体"/>
                <w:sz w:val="24"/>
              </w:rPr>
              <w:t xml:space="preserve"> </w:t>
            </w:r>
          </w:p>
        </w:tc>
        <w:tc>
          <w:tcPr>
            <w:tcW w:w="868" w:type="pct"/>
            <w:vAlign w:val="center"/>
          </w:tcPr>
          <w:p>
            <w:pPr>
              <w:widowControl w:val="0"/>
              <w:spacing w:line="276" w:lineRule="auto"/>
              <w:rPr>
                <w:sz w:val="20"/>
                <w:szCs w:val="20"/>
              </w:rPr>
            </w:pPr>
            <w:r>
              <w:rPr>
                <w:sz w:val="20"/>
                <w:szCs w:val="20"/>
              </w:rPr>
              <w:t>/</w:t>
            </w:r>
          </w:p>
        </w:tc>
        <w:tc>
          <w:tcPr>
            <w:tcW w:w="868" w:type="pct"/>
            <w:vAlign w:val="center"/>
          </w:tcPr>
          <w:p>
            <w:pPr>
              <w:widowControl w:val="0"/>
              <w:spacing w:line="276" w:lineRule="auto"/>
              <w:rPr>
                <w:sz w:val="20"/>
                <w:szCs w:val="20"/>
              </w:rPr>
            </w:pPr>
            <w:r>
              <w:rPr>
                <w:sz w:val="20"/>
                <w:szCs w:val="20"/>
              </w:rPr>
              <w:t>/</w:t>
            </w:r>
          </w:p>
        </w:tc>
      </w:tr>
    </w:tbl>
    <w:p>
      <w:pPr>
        <w:spacing w:line="360" w:lineRule="auto"/>
        <w:ind w:firstLine="420" w:firstLineChars="200"/>
        <w:rPr>
          <w:szCs w:val="21"/>
        </w:rPr>
      </w:pPr>
      <w:r>
        <w:rPr>
          <w:rFonts w:hint="eastAsia"/>
          <w:szCs w:val="21"/>
        </w:rPr>
        <w:t>GB</w:t>
      </w:r>
      <w:r>
        <w:rPr>
          <w:szCs w:val="21"/>
        </w:rPr>
        <w:t xml:space="preserve"> </w:t>
      </w:r>
      <w:r>
        <w:rPr>
          <w:rFonts w:hint="eastAsia"/>
          <w:szCs w:val="21"/>
        </w:rPr>
        <w:t>38031-2020预处理要求可覆盖国际标准，维持原标准不变。</w:t>
      </w:r>
    </w:p>
    <w:p>
      <w:pPr>
        <w:pStyle w:val="19"/>
        <w:numPr>
          <w:ilvl w:val="0"/>
          <w:numId w:val="7"/>
        </w:numPr>
        <w:spacing w:line="360" w:lineRule="auto"/>
        <w:jc w:val="both"/>
        <w:rPr>
          <w:rFonts w:ascii="宋体" w:hAnsi="宋体"/>
        </w:rPr>
      </w:pPr>
      <w:r>
        <w:rPr>
          <w:rFonts w:hint="eastAsia" w:ascii="宋体" w:hAnsi="宋体"/>
        </w:rPr>
        <w:t>单体安全测试</w:t>
      </w:r>
    </w:p>
    <w:p>
      <w:pPr>
        <w:pStyle w:val="19"/>
        <w:numPr>
          <w:ilvl w:val="0"/>
          <w:numId w:val="8"/>
        </w:numPr>
        <w:spacing w:line="400" w:lineRule="exact"/>
        <w:rPr>
          <w:rFonts w:ascii="宋体" w:hAnsi="宋体"/>
        </w:rPr>
      </w:pPr>
      <w:r>
        <w:rPr>
          <w:rFonts w:hint="eastAsia" w:ascii="宋体" w:hAnsi="宋体"/>
        </w:rPr>
        <w:t>过放电测试</w:t>
      </w:r>
    </w:p>
    <w:p>
      <w:pPr>
        <w:spacing w:line="360" w:lineRule="auto"/>
        <w:ind w:firstLine="400"/>
        <w:jc w:val="center"/>
        <w:rPr>
          <w:sz w:val="20"/>
        </w:rPr>
      </w:pPr>
      <w:r>
        <w:rPr>
          <w:rFonts w:hint="eastAsia"/>
          <w:sz w:val="20"/>
        </w:rPr>
        <w:t>表</w:t>
      </w:r>
      <w:r>
        <w:rPr>
          <w:sz w:val="20"/>
        </w:rPr>
        <w:t>13</w:t>
      </w:r>
      <w:r>
        <w:rPr>
          <w:rFonts w:hint="eastAsia"/>
          <w:sz w:val="20"/>
        </w:rPr>
        <w:t>：电池单体过放电测试对比</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2353"/>
        <w:gridCol w:w="4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747" w:type="pct"/>
            <w:vAlign w:val="center"/>
          </w:tcPr>
          <w:p>
            <w:pPr>
              <w:jc w:val="center"/>
              <w:rPr>
                <w:rFonts w:ascii="宋体" w:hAnsi="宋体"/>
                <w:sz w:val="20"/>
                <w:szCs w:val="20"/>
              </w:rPr>
            </w:pPr>
            <w:r>
              <w:rPr>
                <w:rFonts w:hint="eastAsia" w:ascii="宋体" w:hAnsi="宋体"/>
                <w:sz w:val="20"/>
                <w:szCs w:val="20"/>
              </w:rPr>
              <w:t>标准</w:t>
            </w:r>
          </w:p>
        </w:tc>
        <w:tc>
          <w:tcPr>
            <w:tcW w:w="1380" w:type="pct"/>
            <w:vAlign w:val="center"/>
          </w:tcPr>
          <w:p>
            <w:pPr>
              <w:widowControl w:val="0"/>
              <w:jc w:val="center"/>
              <w:rPr>
                <w:sz w:val="20"/>
              </w:rPr>
            </w:pPr>
            <w:r>
              <w:rPr>
                <w:szCs w:val="21"/>
              </w:rPr>
              <w:t>GB 38031</w:t>
            </w:r>
            <w:r>
              <w:rPr>
                <w:rFonts w:hint="eastAsia"/>
                <w:szCs w:val="21"/>
                <w:lang w:eastAsia="zh-CN"/>
              </w:rPr>
              <w:t>—</w:t>
            </w:r>
            <w:r>
              <w:rPr>
                <w:szCs w:val="21"/>
              </w:rPr>
              <w:t>2020</w:t>
            </w:r>
          </w:p>
        </w:tc>
        <w:tc>
          <w:tcPr>
            <w:tcW w:w="2872" w:type="pct"/>
            <w:vAlign w:val="center"/>
          </w:tcPr>
          <w:p>
            <w:pPr>
              <w:widowControl w:val="0"/>
              <w:jc w:val="center"/>
              <w:rPr>
                <w:sz w:val="20"/>
              </w:rPr>
            </w:pPr>
            <w:r>
              <w:rPr>
                <w:rFonts w:hint="eastAsia"/>
                <w:sz w:val="20"/>
              </w:rPr>
              <w:t>I</w:t>
            </w:r>
            <w:r>
              <w:rPr>
                <w:sz w:val="20"/>
              </w:rPr>
              <w:t>EC 62660-3:2022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47" w:type="pct"/>
            <w:vAlign w:val="center"/>
          </w:tcPr>
          <w:p>
            <w:pPr>
              <w:widowControl w:val="0"/>
              <w:jc w:val="center"/>
              <w:rPr>
                <w:sz w:val="20"/>
                <w:szCs w:val="20"/>
              </w:rPr>
            </w:pPr>
            <w:r>
              <w:rPr>
                <w:sz w:val="20"/>
                <w:szCs w:val="20"/>
              </w:rPr>
              <w:t>试验方法</w:t>
            </w:r>
          </w:p>
        </w:tc>
        <w:tc>
          <w:tcPr>
            <w:tcW w:w="1380" w:type="pct"/>
            <w:vAlign w:val="center"/>
          </w:tcPr>
          <w:p>
            <w:pPr>
              <w:widowControl w:val="0"/>
              <w:jc w:val="center"/>
              <w:rPr>
                <w:sz w:val="20"/>
                <w:szCs w:val="20"/>
              </w:rPr>
            </w:pPr>
            <w:r>
              <w:rPr>
                <w:sz w:val="20"/>
                <w:szCs w:val="20"/>
              </w:rPr>
              <w:t>以1 I</w:t>
            </w:r>
            <w:r>
              <w:rPr>
                <w:sz w:val="20"/>
                <w:szCs w:val="20"/>
                <w:vertAlign w:val="subscript"/>
              </w:rPr>
              <w:t>1</w:t>
            </w:r>
            <w:r>
              <w:rPr>
                <w:sz w:val="20"/>
                <w:szCs w:val="20"/>
              </w:rPr>
              <w:t>电流放电90 min</w:t>
            </w:r>
          </w:p>
        </w:tc>
        <w:tc>
          <w:tcPr>
            <w:tcW w:w="2872" w:type="pct"/>
            <w:vAlign w:val="center"/>
          </w:tcPr>
          <w:p>
            <w:pPr>
              <w:widowControl w:val="0"/>
              <w:jc w:val="center"/>
              <w:rPr>
                <w:sz w:val="20"/>
                <w:szCs w:val="20"/>
              </w:rPr>
            </w:pPr>
            <w:r>
              <w:rPr>
                <w:sz w:val="20"/>
                <w:szCs w:val="20"/>
              </w:rPr>
              <w:t>以1 I</w:t>
            </w:r>
            <w:r>
              <w:rPr>
                <w:sz w:val="20"/>
                <w:szCs w:val="20"/>
                <w:vertAlign w:val="subscript"/>
              </w:rPr>
              <w:t>1</w:t>
            </w:r>
            <w:r>
              <w:rPr>
                <w:sz w:val="20"/>
                <w:szCs w:val="20"/>
              </w:rPr>
              <w:t>电流放电直到满足以下任一条件：1）当电池电压的绝对值达到电池制造商规定的标称电压的25%或更低时；2）电池放电30min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47" w:type="pct"/>
            <w:vAlign w:val="center"/>
          </w:tcPr>
          <w:p>
            <w:pPr>
              <w:widowControl w:val="0"/>
              <w:jc w:val="center"/>
              <w:rPr>
                <w:sz w:val="20"/>
                <w:szCs w:val="20"/>
              </w:rPr>
            </w:pPr>
            <w:r>
              <w:rPr>
                <w:sz w:val="20"/>
                <w:szCs w:val="20"/>
              </w:rPr>
              <w:t>通过要求</w:t>
            </w:r>
          </w:p>
        </w:tc>
        <w:tc>
          <w:tcPr>
            <w:tcW w:w="1380" w:type="pct"/>
            <w:vAlign w:val="center"/>
          </w:tcPr>
          <w:p>
            <w:pPr>
              <w:widowControl w:val="0"/>
              <w:jc w:val="center"/>
              <w:rPr>
                <w:sz w:val="20"/>
                <w:szCs w:val="20"/>
              </w:rPr>
            </w:pPr>
            <w:r>
              <w:rPr>
                <w:sz w:val="20"/>
                <w:szCs w:val="20"/>
              </w:rPr>
              <w:t>不起火、不爆炸</w:t>
            </w:r>
          </w:p>
        </w:tc>
        <w:tc>
          <w:tcPr>
            <w:tcW w:w="2872" w:type="pct"/>
            <w:vAlign w:val="center"/>
          </w:tcPr>
          <w:p>
            <w:pPr>
              <w:widowControl w:val="0"/>
              <w:jc w:val="center"/>
              <w:rPr>
                <w:sz w:val="20"/>
                <w:szCs w:val="20"/>
              </w:rPr>
            </w:pPr>
            <w:r>
              <w:rPr>
                <w:sz w:val="20"/>
                <w:szCs w:val="20"/>
              </w:rPr>
              <w:t>无漏液、排气、破裂、起火或爆炸</w:t>
            </w:r>
          </w:p>
        </w:tc>
      </w:tr>
    </w:tbl>
    <w:p>
      <w:pPr>
        <w:spacing w:line="360" w:lineRule="auto"/>
        <w:ind w:firstLine="420" w:firstLineChars="200"/>
        <w:jc w:val="both"/>
        <w:rPr>
          <w:szCs w:val="21"/>
        </w:rPr>
      </w:pPr>
      <w:r>
        <w:rPr>
          <w:szCs w:val="21"/>
        </w:rPr>
        <w:t>GB 38031</w:t>
      </w:r>
      <w:r>
        <w:rPr>
          <w:rFonts w:hint="eastAsia"/>
          <w:szCs w:val="21"/>
          <w:lang w:eastAsia="zh-CN"/>
        </w:rPr>
        <w:t>—</w:t>
      </w:r>
      <w:r>
        <w:rPr>
          <w:szCs w:val="21"/>
        </w:rPr>
        <w:t>2020</w:t>
      </w:r>
      <w:r>
        <w:rPr>
          <w:rFonts w:hint="eastAsia"/>
          <w:szCs w:val="21"/>
        </w:rPr>
        <w:t>制定时确立了优化单体级别要求，强化系统层级要求的编制原则。过放电测试在电池包或系统层级已有不泄露要求，因此，</w:t>
      </w:r>
      <w:r>
        <w:rPr>
          <w:szCs w:val="21"/>
        </w:rPr>
        <w:t>GB 38031</w:t>
      </w:r>
      <w:r>
        <w:rPr>
          <w:rFonts w:hint="eastAsia"/>
          <w:szCs w:val="21"/>
          <w:lang w:eastAsia="zh-CN"/>
        </w:rPr>
        <w:t>—</w:t>
      </w:r>
      <w:r>
        <w:rPr>
          <w:szCs w:val="21"/>
        </w:rPr>
        <w:t>2020</w:t>
      </w:r>
      <w:r>
        <w:rPr>
          <w:rFonts w:hint="eastAsia"/>
          <w:szCs w:val="21"/>
        </w:rPr>
        <w:t>中单体过放电测试通过要求为不起火、不爆炸。基于同样编制原则，本次修订计划维持2020版本内容不变。</w:t>
      </w:r>
    </w:p>
    <w:p>
      <w:pPr>
        <w:pStyle w:val="19"/>
        <w:numPr>
          <w:ilvl w:val="0"/>
          <w:numId w:val="8"/>
        </w:numPr>
        <w:spacing w:line="360" w:lineRule="auto"/>
        <w:rPr>
          <w:rFonts w:ascii="宋体" w:hAnsi="宋体"/>
        </w:rPr>
      </w:pPr>
      <w:r>
        <w:rPr>
          <w:rFonts w:hint="eastAsia" w:ascii="宋体" w:hAnsi="宋体"/>
        </w:rPr>
        <w:t>过充电测试</w:t>
      </w:r>
    </w:p>
    <w:p>
      <w:pPr>
        <w:spacing w:line="360" w:lineRule="auto"/>
        <w:ind w:firstLine="400"/>
        <w:jc w:val="center"/>
        <w:rPr>
          <w:sz w:val="20"/>
        </w:rPr>
      </w:pPr>
      <w:r>
        <w:rPr>
          <w:rFonts w:hint="eastAsia"/>
          <w:sz w:val="20"/>
        </w:rPr>
        <w:t>表</w:t>
      </w:r>
      <w:r>
        <w:rPr>
          <w:sz w:val="20"/>
        </w:rPr>
        <w:t>14</w:t>
      </w:r>
      <w:r>
        <w:rPr>
          <w:rFonts w:hint="eastAsia"/>
          <w:sz w:val="20"/>
        </w:rPr>
        <w:t>：电池单体过充电测试对比</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3739"/>
        <w:gridCol w:w="3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12" w:type="pct"/>
          </w:tcPr>
          <w:p>
            <w:pPr>
              <w:jc w:val="center"/>
              <w:rPr>
                <w:sz w:val="20"/>
                <w:szCs w:val="20"/>
              </w:rPr>
            </w:pPr>
            <w:r>
              <w:rPr>
                <w:rFonts w:hint="eastAsia"/>
                <w:sz w:val="20"/>
                <w:szCs w:val="20"/>
              </w:rPr>
              <w:t>标准</w:t>
            </w:r>
          </w:p>
        </w:tc>
        <w:tc>
          <w:tcPr>
            <w:tcW w:w="2194" w:type="pct"/>
          </w:tcPr>
          <w:p>
            <w:pPr>
              <w:jc w:val="center"/>
              <w:rPr>
                <w:sz w:val="20"/>
                <w:szCs w:val="20"/>
              </w:rPr>
            </w:pPr>
            <w:r>
              <w:rPr>
                <w:szCs w:val="21"/>
              </w:rPr>
              <w:t>GB 38031</w:t>
            </w:r>
            <w:r>
              <w:rPr>
                <w:rFonts w:hint="eastAsia"/>
                <w:szCs w:val="21"/>
                <w:lang w:eastAsia="zh-CN"/>
              </w:rPr>
              <w:t>—</w:t>
            </w:r>
            <w:r>
              <w:rPr>
                <w:szCs w:val="21"/>
              </w:rPr>
              <w:t>2020</w:t>
            </w:r>
          </w:p>
        </w:tc>
        <w:tc>
          <w:tcPr>
            <w:tcW w:w="2194" w:type="pct"/>
          </w:tcPr>
          <w:p>
            <w:pPr>
              <w:jc w:val="center"/>
              <w:rPr>
                <w:sz w:val="20"/>
                <w:szCs w:val="20"/>
              </w:rPr>
            </w:pPr>
            <w:r>
              <w:rPr>
                <w:rFonts w:hint="eastAsia"/>
                <w:sz w:val="20"/>
                <w:szCs w:val="20"/>
              </w:rPr>
              <w:t>I</w:t>
            </w:r>
            <w:r>
              <w:rPr>
                <w:sz w:val="20"/>
                <w:szCs w:val="20"/>
              </w:rPr>
              <w:t>EC 62660-3:2022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12" w:type="pct"/>
            <w:vAlign w:val="center"/>
          </w:tcPr>
          <w:p>
            <w:pPr>
              <w:widowControl w:val="0"/>
              <w:jc w:val="center"/>
              <w:rPr>
                <w:sz w:val="20"/>
                <w:szCs w:val="20"/>
              </w:rPr>
            </w:pPr>
            <w:r>
              <w:rPr>
                <w:sz w:val="20"/>
                <w:szCs w:val="20"/>
              </w:rPr>
              <w:t>试验方法</w:t>
            </w:r>
          </w:p>
        </w:tc>
        <w:tc>
          <w:tcPr>
            <w:tcW w:w="2194" w:type="pct"/>
            <w:vAlign w:val="center"/>
          </w:tcPr>
          <w:p>
            <w:pPr>
              <w:widowControl w:val="0"/>
              <w:jc w:val="both"/>
              <w:rPr>
                <w:sz w:val="20"/>
                <w:szCs w:val="20"/>
              </w:rPr>
            </w:pPr>
            <w:r>
              <w:rPr>
                <w:sz w:val="20"/>
                <w:szCs w:val="20"/>
              </w:rPr>
              <w:t>以制造商规定且不小于1I</w:t>
            </w:r>
            <w:r>
              <w:rPr>
                <w:sz w:val="20"/>
                <w:szCs w:val="20"/>
                <w:vertAlign w:val="subscript"/>
              </w:rPr>
              <w:t>3</w:t>
            </w:r>
            <w:r>
              <w:rPr>
                <w:sz w:val="20"/>
                <w:szCs w:val="20"/>
              </w:rPr>
              <w:t>的电流恒流充电至制造商规定的充电终止电压的1.1倍或115%SOC,停止充电</w:t>
            </w:r>
          </w:p>
        </w:tc>
        <w:tc>
          <w:tcPr>
            <w:tcW w:w="2194" w:type="pct"/>
            <w:vAlign w:val="center"/>
          </w:tcPr>
          <w:p>
            <w:pPr>
              <w:widowControl w:val="0"/>
              <w:jc w:val="both"/>
              <w:rPr>
                <w:sz w:val="20"/>
                <w:szCs w:val="20"/>
              </w:rPr>
            </w:pPr>
            <w:r>
              <w:rPr>
                <w:sz w:val="20"/>
                <w:szCs w:val="20"/>
              </w:rPr>
              <w:t>充电电直到满足以下任一条件1）电压达到最大电压的120%；2）达到130%SOC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12" w:type="pct"/>
          </w:tcPr>
          <w:p>
            <w:pPr>
              <w:widowControl w:val="0"/>
              <w:jc w:val="center"/>
              <w:rPr>
                <w:sz w:val="20"/>
                <w:szCs w:val="20"/>
              </w:rPr>
            </w:pPr>
            <w:r>
              <w:rPr>
                <w:sz w:val="20"/>
                <w:szCs w:val="20"/>
              </w:rPr>
              <w:t>通过要求</w:t>
            </w:r>
          </w:p>
        </w:tc>
        <w:tc>
          <w:tcPr>
            <w:tcW w:w="2194" w:type="pct"/>
            <w:vAlign w:val="center"/>
          </w:tcPr>
          <w:p>
            <w:pPr>
              <w:widowControl w:val="0"/>
              <w:jc w:val="center"/>
              <w:rPr>
                <w:sz w:val="20"/>
                <w:szCs w:val="20"/>
              </w:rPr>
            </w:pPr>
            <w:r>
              <w:rPr>
                <w:sz w:val="20"/>
                <w:szCs w:val="20"/>
              </w:rPr>
              <w:t>不起火、不爆炸</w:t>
            </w:r>
          </w:p>
        </w:tc>
        <w:tc>
          <w:tcPr>
            <w:tcW w:w="2194" w:type="pct"/>
            <w:vAlign w:val="center"/>
          </w:tcPr>
          <w:p>
            <w:pPr>
              <w:widowControl w:val="0"/>
              <w:jc w:val="center"/>
              <w:rPr>
                <w:sz w:val="20"/>
                <w:szCs w:val="20"/>
              </w:rPr>
            </w:pPr>
            <w:r>
              <w:rPr>
                <w:sz w:val="20"/>
                <w:szCs w:val="20"/>
              </w:rPr>
              <w:t>不起火、不爆炸</w:t>
            </w:r>
          </w:p>
        </w:tc>
      </w:tr>
    </w:tbl>
    <w:p>
      <w:pPr>
        <w:spacing w:line="360" w:lineRule="auto"/>
        <w:ind w:firstLine="420" w:firstLineChars="200"/>
        <w:jc w:val="both"/>
        <w:rPr>
          <w:szCs w:val="21"/>
        </w:rPr>
      </w:pPr>
      <w:r>
        <w:rPr>
          <w:szCs w:val="21"/>
        </w:rPr>
        <w:t>GB 38031</w:t>
      </w:r>
      <w:r>
        <w:rPr>
          <w:rFonts w:hint="eastAsia"/>
          <w:szCs w:val="21"/>
        </w:rPr>
        <w:t>-</w:t>
      </w:r>
      <w:r>
        <w:rPr>
          <w:szCs w:val="21"/>
        </w:rPr>
        <w:t>2020</w:t>
      </w:r>
      <w:r>
        <w:rPr>
          <w:rFonts w:hint="eastAsia"/>
          <w:szCs w:val="21"/>
        </w:rPr>
        <w:t>版本修订时已对单体过充电截止条件进行充分讨论，现行测试条件可实现配合系统</w:t>
      </w:r>
      <w:r>
        <w:rPr>
          <w:szCs w:val="21"/>
        </w:rPr>
        <w:t>过充保护策略的安全要求</w:t>
      </w:r>
      <w:r>
        <w:rPr>
          <w:rFonts w:hint="eastAsia"/>
          <w:szCs w:val="21"/>
        </w:rPr>
        <w:t>，因此维持原标准内容不变。</w:t>
      </w:r>
    </w:p>
    <w:p>
      <w:pPr>
        <w:pStyle w:val="19"/>
        <w:numPr>
          <w:ilvl w:val="0"/>
          <w:numId w:val="8"/>
        </w:numPr>
        <w:spacing w:line="400" w:lineRule="exact"/>
        <w:rPr>
          <w:rFonts w:ascii="宋体" w:hAnsi="宋体"/>
        </w:rPr>
      </w:pPr>
      <w:r>
        <w:rPr>
          <w:rFonts w:hint="eastAsia" w:ascii="宋体" w:hAnsi="宋体"/>
        </w:rPr>
        <w:t>外部短路测试</w:t>
      </w:r>
    </w:p>
    <w:p>
      <w:pPr>
        <w:spacing w:line="360" w:lineRule="auto"/>
        <w:ind w:firstLine="400"/>
        <w:jc w:val="center"/>
        <w:rPr>
          <w:sz w:val="20"/>
        </w:rPr>
      </w:pPr>
      <w:r>
        <w:rPr>
          <w:rFonts w:hint="eastAsia"/>
          <w:sz w:val="20"/>
        </w:rPr>
        <w:t>表</w:t>
      </w:r>
      <w:r>
        <w:rPr>
          <w:sz w:val="20"/>
        </w:rPr>
        <w:t>15</w:t>
      </w:r>
      <w:r>
        <w:rPr>
          <w:rFonts w:hint="eastAsia"/>
          <w:sz w:val="20"/>
        </w:rPr>
        <w:t>：电池单体外部短路测试对比</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3739"/>
        <w:gridCol w:w="3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12" w:type="pct"/>
          </w:tcPr>
          <w:p>
            <w:pPr>
              <w:jc w:val="center"/>
              <w:rPr>
                <w:sz w:val="20"/>
                <w:szCs w:val="20"/>
              </w:rPr>
            </w:pPr>
            <w:r>
              <w:rPr>
                <w:rFonts w:hint="eastAsia"/>
                <w:sz w:val="20"/>
                <w:szCs w:val="20"/>
              </w:rPr>
              <w:t>标准</w:t>
            </w:r>
          </w:p>
        </w:tc>
        <w:tc>
          <w:tcPr>
            <w:tcW w:w="2194" w:type="pct"/>
          </w:tcPr>
          <w:p>
            <w:pPr>
              <w:jc w:val="center"/>
              <w:rPr>
                <w:sz w:val="20"/>
                <w:szCs w:val="20"/>
              </w:rPr>
            </w:pPr>
            <w:r>
              <w:rPr>
                <w:szCs w:val="21"/>
              </w:rPr>
              <w:t>GB 38031</w:t>
            </w:r>
            <w:r>
              <w:rPr>
                <w:rFonts w:hint="eastAsia"/>
                <w:szCs w:val="21"/>
                <w:lang w:eastAsia="zh-CN"/>
              </w:rPr>
              <w:t>—</w:t>
            </w:r>
            <w:r>
              <w:rPr>
                <w:szCs w:val="21"/>
              </w:rPr>
              <w:t>2020</w:t>
            </w:r>
          </w:p>
        </w:tc>
        <w:tc>
          <w:tcPr>
            <w:tcW w:w="2194" w:type="pct"/>
          </w:tcPr>
          <w:p>
            <w:pPr>
              <w:jc w:val="center"/>
              <w:rPr>
                <w:sz w:val="20"/>
                <w:szCs w:val="20"/>
              </w:rPr>
            </w:pPr>
            <w:r>
              <w:rPr>
                <w:rFonts w:hint="eastAsia"/>
                <w:sz w:val="20"/>
                <w:szCs w:val="20"/>
              </w:rPr>
              <w:t>I</w:t>
            </w:r>
            <w:r>
              <w:rPr>
                <w:sz w:val="20"/>
                <w:szCs w:val="20"/>
              </w:rPr>
              <w:t>EC 62660-3:2022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12" w:type="pct"/>
            <w:vAlign w:val="center"/>
          </w:tcPr>
          <w:p>
            <w:pPr>
              <w:widowControl w:val="0"/>
              <w:jc w:val="center"/>
              <w:rPr>
                <w:sz w:val="20"/>
                <w:szCs w:val="20"/>
              </w:rPr>
            </w:pPr>
            <w:r>
              <w:rPr>
                <w:sz w:val="20"/>
                <w:szCs w:val="20"/>
              </w:rPr>
              <w:t>试验方法</w:t>
            </w:r>
          </w:p>
        </w:tc>
        <w:tc>
          <w:tcPr>
            <w:tcW w:w="2194" w:type="pct"/>
            <w:vAlign w:val="center"/>
          </w:tcPr>
          <w:p>
            <w:pPr>
              <w:widowControl w:val="0"/>
              <w:jc w:val="center"/>
              <w:rPr>
                <w:sz w:val="20"/>
                <w:szCs w:val="20"/>
              </w:rPr>
            </w:pPr>
            <w:r>
              <w:rPr>
                <w:sz w:val="20"/>
                <w:szCs w:val="20"/>
              </w:rPr>
              <w:t>外部短路10min，外部短路电阻＜5mΩ</w:t>
            </w:r>
          </w:p>
        </w:tc>
        <w:tc>
          <w:tcPr>
            <w:tcW w:w="2194" w:type="pct"/>
            <w:vAlign w:val="center"/>
          </w:tcPr>
          <w:p>
            <w:pPr>
              <w:widowControl w:val="0"/>
              <w:jc w:val="center"/>
              <w:rPr>
                <w:sz w:val="20"/>
                <w:szCs w:val="20"/>
              </w:rPr>
            </w:pPr>
            <w:r>
              <w:rPr>
                <w:sz w:val="20"/>
                <w:szCs w:val="20"/>
              </w:rPr>
              <w:t>外部短路10min，外部短路电阻＜5mΩ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12" w:type="pct"/>
          </w:tcPr>
          <w:p>
            <w:pPr>
              <w:widowControl w:val="0"/>
              <w:jc w:val="center"/>
              <w:rPr>
                <w:sz w:val="20"/>
                <w:szCs w:val="20"/>
              </w:rPr>
            </w:pPr>
            <w:r>
              <w:rPr>
                <w:sz w:val="20"/>
                <w:szCs w:val="20"/>
              </w:rPr>
              <w:t>通过要求</w:t>
            </w:r>
          </w:p>
        </w:tc>
        <w:tc>
          <w:tcPr>
            <w:tcW w:w="2194" w:type="pct"/>
            <w:vAlign w:val="center"/>
          </w:tcPr>
          <w:p>
            <w:pPr>
              <w:widowControl w:val="0"/>
              <w:jc w:val="center"/>
              <w:rPr>
                <w:sz w:val="20"/>
                <w:szCs w:val="20"/>
              </w:rPr>
            </w:pPr>
            <w:r>
              <w:rPr>
                <w:sz w:val="20"/>
                <w:szCs w:val="20"/>
              </w:rPr>
              <w:t>不起火、不爆炸</w:t>
            </w:r>
          </w:p>
        </w:tc>
        <w:tc>
          <w:tcPr>
            <w:tcW w:w="2194" w:type="pct"/>
            <w:vAlign w:val="center"/>
          </w:tcPr>
          <w:p>
            <w:pPr>
              <w:widowControl w:val="0"/>
              <w:jc w:val="center"/>
              <w:rPr>
                <w:sz w:val="20"/>
                <w:szCs w:val="20"/>
              </w:rPr>
            </w:pPr>
            <w:r>
              <w:rPr>
                <w:sz w:val="20"/>
                <w:szCs w:val="20"/>
              </w:rPr>
              <w:t>不起火、不爆炸</w:t>
            </w:r>
          </w:p>
        </w:tc>
      </w:tr>
    </w:tbl>
    <w:p>
      <w:pPr>
        <w:spacing w:line="360" w:lineRule="auto"/>
        <w:ind w:firstLine="420" w:firstLineChars="200"/>
        <w:rPr>
          <w:szCs w:val="21"/>
        </w:rPr>
      </w:pPr>
      <w:r>
        <w:rPr>
          <w:rFonts w:hint="eastAsia"/>
          <w:szCs w:val="21"/>
        </w:rPr>
        <w:t>单体短路测试条件与国际标准一致，因此维持原标准内容不变。</w:t>
      </w:r>
    </w:p>
    <w:p>
      <w:pPr>
        <w:pStyle w:val="19"/>
        <w:numPr>
          <w:ilvl w:val="0"/>
          <w:numId w:val="8"/>
        </w:numPr>
        <w:spacing w:line="400" w:lineRule="exact"/>
        <w:rPr>
          <w:rFonts w:ascii="宋体" w:hAnsi="宋体"/>
        </w:rPr>
      </w:pPr>
      <w:r>
        <w:rPr>
          <w:rFonts w:hint="eastAsia" w:ascii="宋体" w:hAnsi="宋体"/>
        </w:rPr>
        <w:t>加热测试</w:t>
      </w:r>
    </w:p>
    <w:p>
      <w:pPr>
        <w:spacing w:line="360" w:lineRule="auto"/>
        <w:ind w:firstLine="400"/>
        <w:jc w:val="center"/>
        <w:rPr>
          <w:sz w:val="20"/>
        </w:rPr>
      </w:pPr>
      <w:r>
        <w:rPr>
          <w:rFonts w:hint="eastAsia"/>
          <w:sz w:val="20"/>
        </w:rPr>
        <w:t>表</w:t>
      </w:r>
      <w:r>
        <w:rPr>
          <w:sz w:val="20"/>
        </w:rPr>
        <w:t>16</w:t>
      </w:r>
      <w:r>
        <w:rPr>
          <w:rFonts w:hint="eastAsia"/>
          <w:sz w:val="20"/>
        </w:rPr>
        <w:t>：电池单体加热测试对比</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3739"/>
        <w:gridCol w:w="3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12" w:type="pct"/>
            <w:vAlign w:val="center"/>
          </w:tcPr>
          <w:p>
            <w:pPr>
              <w:jc w:val="center"/>
              <w:rPr>
                <w:sz w:val="20"/>
                <w:szCs w:val="20"/>
              </w:rPr>
            </w:pPr>
            <w:r>
              <w:rPr>
                <w:rFonts w:hint="eastAsia"/>
                <w:sz w:val="20"/>
                <w:szCs w:val="20"/>
              </w:rPr>
              <w:t>标准</w:t>
            </w:r>
          </w:p>
        </w:tc>
        <w:tc>
          <w:tcPr>
            <w:tcW w:w="2194" w:type="pct"/>
            <w:vAlign w:val="center"/>
          </w:tcPr>
          <w:p>
            <w:pPr>
              <w:jc w:val="center"/>
              <w:rPr>
                <w:sz w:val="20"/>
                <w:szCs w:val="20"/>
              </w:rPr>
            </w:pPr>
            <w:r>
              <w:rPr>
                <w:szCs w:val="21"/>
              </w:rPr>
              <w:t>GB 38031</w:t>
            </w:r>
            <w:r>
              <w:rPr>
                <w:rFonts w:hint="eastAsia"/>
                <w:szCs w:val="21"/>
                <w:lang w:eastAsia="zh-CN"/>
              </w:rPr>
              <w:t>—</w:t>
            </w:r>
            <w:r>
              <w:rPr>
                <w:szCs w:val="21"/>
              </w:rPr>
              <w:t>2020</w:t>
            </w:r>
          </w:p>
        </w:tc>
        <w:tc>
          <w:tcPr>
            <w:tcW w:w="2194" w:type="pct"/>
            <w:vAlign w:val="center"/>
          </w:tcPr>
          <w:p>
            <w:pPr>
              <w:jc w:val="center"/>
              <w:rPr>
                <w:sz w:val="20"/>
                <w:szCs w:val="20"/>
              </w:rPr>
            </w:pPr>
            <w:r>
              <w:rPr>
                <w:rFonts w:hint="eastAsia"/>
                <w:sz w:val="20"/>
                <w:szCs w:val="20"/>
              </w:rPr>
              <w:t>I</w:t>
            </w:r>
            <w:r>
              <w:rPr>
                <w:sz w:val="20"/>
                <w:szCs w:val="20"/>
              </w:rPr>
              <w:t>EC 62660-3:2022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12" w:type="pct"/>
            <w:vAlign w:val="center"/>
          </w:tcPr>
          <w:p>
            <w:pPr>
              <w:widowControl w:val="0"/>
              <w:jc w:val="center"/>
              <w:rPr>
                <w:sz w:val="20"/>
                <w:szCs w:val="20"/>
              </w:rPr>
            </w:pPr>
            <w:r>
              <w:rPr>
                <w:sz w:val="20"/>
                <w:szCs w:val="20"/>
              </w:rPr>
              <w:t>试验方法</w:t>
            </w:r>
          </w:p>
        </w:tc>
        <w:tc>
          <w:tcPr>
            <w:tcW w:w="2194" w:type="pct"/>
            <w:vAlign w:val="center"/>
          </w:tcPr>
          <w:p>
            <w:pPr>
              <w:widowControl w:val="0"/>
              <w:jc w:val="both"/>
              <w:rPr>
                <w:sz w:val="20"/>
                <w:szCs w:val="20"/>
              </w:rPr>
            </w:pPr>
            <w:r>
              <w:rPr>
                <w:sz w:val="20"/>
                <w:szCs w:val="20"/>
              </w:rPr>
              <w:t>温度箱升温速率：5℃/min；由试验环境温度升至130</w:t>
            </w:r>
            <w:r>
              <w:rPr>
                <w:rFonts w:hint="eastAsia"/>
                <w:sz w:val="20"/>
                <w:szCs w:val="20"/>
              </w:rPr>
              <w:t>±</w:t>
            </w:r>
            <w:r>
              <w:rPr>
                <w:sz w:val="20"/>
                <w:szCs w:val="20"/>
              </w:rPr>
              <w:t>2℃，并保持温度30min后停止加热。完成后在试验环境下观察1h</w:t>
            </w:r>
          </w:p>
        </w:tc>
        <w:tc>
          <w:tcPr>
            <w:tcW w:w="2194" w:type="pct"/>
            <w:vAlign w:val="center"/>
          </w:tcPr>
          <w:p>
            <w:pPr>
              <w:widowControl w:val="0"/>
              <w:jc w:val="both"/>
              <w:rPr>
                <w:sz w:val="20"/>
                <w:szCs w:val="20"/>
              </w:rPr>
            </w:pPr>
            <w:r>
              <w:rPr>
                <w:sz w:val="20"/>
                <w:szCs w:val="20"/>
              </w:rPr>
              <w:t>烘箱以5K/min的速率升高至温度为130℃；在该温度下维持30min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12" w:type="pct"/>
            <w:vAlign w:val="center"/>
          </w:tcPr>
          <w:p>
            <w:pPr>
              <w:widowControl w:val="0"/>
              <w:jc w:val="center"/>
              <w:rPr>
                <w:sz w:val="20"/>
                <w:szCs w:val="20"/>
              </w:rPr>
            </w:pPr>
            <w:r>
              <w:rPr>
                <w:sz w:val="20"/>
                <w:szCs w:val="20"/>
              </w:rPr>
              <w:t>通过要求</w:t>
            </w:r>
          </w:p>
        </w:tc>
        <w:tc>
          <w:tcPr>
            <w:tcW w:w="2194" w:type="pct"/>
            <w:vAlign w:val="center"/>
          </w:tcPr>
          <w:p>
            <w:pPr>
              <w:widowControl w:val="0"/>
              <w:jc w:val="center"/>
              <w:rPr>
                <w:sz w:val="20"/>
                <w:szCs w:val="20"/>
              </w:rPr>
            </w:pPr>
            <w:r>
              <w:rPr>
                <w:sz w:val="20"/>
                <w:szCs w:val="20"/>
              </w:rPr>
              <w:t>不起火、不爆炸</w:t>
            </w:r>
          </w:p>
        </w:tc>
        <w:tc>
          <w:tcPr>
            <w:tcW w:w="2194" w:type="pct"/>
            <w:vAlign w:val="center"/>
          </w:tcPr>
          <w:p>
            <w:pPr>
              <w:widowControl w:val="0"/>
              <w:jc w:val="center"/>
              <w:rPr>
                <w:sz w:val="20"/>
                <w:szCs w:val="20"/>
              </w:rPr>
            </w:pPr>
            <w:r>
              <w:rPr>
                <w:sz w:val="20"/>
                <w:szCs w:val="20"/>
              </w:rPr>
              <w:t>不起火、不爆炸</w:t>
            </w:r>
          </w:p>
        </w:tc>
      </w:tr>
    </w:tbl>
    <w:p>
      <w:pPr>
        <w:spacing w:line="360" w:lineRule="auto"/>
        <w:ind w:firstLine="420" w:firstLineChars="200"/>
        <w:jc w:val="both"/>
        <w:rPr>
          <w:szCs w:val="21"/>
        </w:rPr>
      </w:pPr>
      <w:r>
        <w:rPr>
          <w:rFonts w:hint="eastAsia"/>
          <w:szCs w:val="21"/>
        </w:rPr>
        <w:t>单体加热测试条件与国际标准一致，因此维持原标准内容不变。</w:t>
      </w:r>
    </w:p>
    <w:p>
      <w:pPr>
        <w:pStyle w:val="19"/>
        <w:numPr>
          <w:ilvl w:val="0"/>
          <w:numId w:val="8"/>
        </w:numPr>
        <w:spacing w:line="400" w:lineRule="exact"/>
        <w:rPr>
          <w:rFonts w:ascii="宋体" w:hAnsi="宋体"/>
        </w:rPr>
      </w:pPr>
      <w:r>
        <w:rPr>
          <w:rFonts w:hint="eastAsia" w:ascii="宋体" w:hAnsi="宋体"/>
        </w:rPr>
        <w:t>温度循环测试</w:t>
      </w:r>
    </w:p>
    <w:p>
      <w:pPr>
        <w:spacing w:line="360" w:lineRule="auto"/>
        <w:ind w:firstLine="400"/>
        <w:jc w:val="center"/>
        <w:rPr>
          <w:sz w:val="20"/>
        </w:rPr>
      </w:pPr>
      <w:r>
        <w:rPr>
          <w:rFonts w:hint="eastAsia"/>
          <w:sz w:val="20"/>
        </w:rPr>
        <w:t>表</w:t>
      </w:r>
      <w:r>
        <w:rPr>
          <w:sz w:val="20"/>
        </w:rPr>
        <w:t>17</w:t>
      </w:r>
      <w:r>
        <w:rPr>
          <w:rFonts w:hint="eastAsia"/>
          <w:sz w:val="20"/>
        </w:rPr>
        <w:t>：电池单体温度循环测试对比</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3739"/>
        <w:gridCol w:w="3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12" w:type="pct"/>
          </w:tcPr>
          <w:p>
            <w:pPr>
              <w:jc w:val="center"/>
              <w:rPr>
                <w:sz w:val="20"/>
                <w:szCs w:val="20"/>
              </w:rPr>
            </w:pPr>
            <w:r>
              <w:rPr>
                <w:rFonts w:hint="eastAsia"/>
                <w:sz w:val="20"/>
                <w:szCs w:val="20"/>
              </w:rPr>
              <w:t>标准</w:t>
            </w:r>
          </w:p>
        </w:tc>
        <w:tc>
          <w:tcPr>
            <w:tcW w:w="2194" w:type="pct"/>
          </w:tcPr>
          <w:p>
            <w:pPr>
              <w:jc w:val="center"/>
              <w:rPr>
                <w:sz w:val="20"/>
                <w:szCs w:val="20"/>
              </w:rPr>
            </w:pPr>
            <w:r>
              <w:rPr>
                <w:szCs w:val="21"/>
              </w:rPr>
              <w:t>GB 38031</w:t>
            </w:r>
            <w:r>
              <w:rPr>
                <w:rFonts w:hint="eastAsia"/>
                <w:szCs w:val="21"/>
                <w:lang w:eastAsia="zh-CN"/>
              </w:rPr>
              <w:t>—</w:t>
            </w:r>
            <w:r>
              <w:rPr>
                <w:szCs w:val="21"/>
              </w:rPr>
              <w:t>2020</w:t>
            </w:r>
          </w:p>
        </w:tc>
        <w:tc>
          <w:tcPr>
            <w:tcW w:w="2194" w:type="pct"/>
          </w:tcPr>
          <w:p>
            <w:pPr>
              <w:jc w:val="center"/>
              <w:rPr>
                <w:sz w:val="20"/>
                <w:szCs w:val="20"/>
              </w:rPr>
            </w:pPr>
            <w:r>
              <w:rPr>
                <w:rFonts w:hint="eastAsia"/>
                <w:sz w:val="20"/>
                <w:szCs w:val="20"/>
              </w:rPr>
              <w:t>I</w:t>
            </w:r>
            <w:r>
              <w:rPr>
                <w:sz w:val="20"/>
                <w:szCs w:val="20"/>
              </w:rPr>
              <w:t>EC 62660-3:2022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12" w:type="pct"/>
            <w:vAlign w:val="center"/>
          </w:tcPr>
          <w:p>
            <w:pPr>
              <w:widowControl w:val="0"/>
              <w:jc w:val="center"/>
              <w:rPr>
                <w:sz w:val="20"/>
                <w:szCs w:val="20"/>
              </w:rPr>
            </w:pPr>
            <w:r>
              <w:rPr>
                <w:sz w:val="20"/>
                <w:szCs w:val="20"/>
              </w:rPr>
              <w:t>试验方法</w:t>
            </w:r>
          </w:p>
        </w:tc>
        <w:tc>
          <w:tcPr>
            <w:tcW w:w="2194" w:type="pct"/>
            <w:vAlign w:val="center"/>
          </w:tcPr>
          <w:p>
            <w:pPr>
              <w:widowControl w:val="0"/>
              <w:jc w:val="both"/>
              <w:rPr>
                <w:sz w:val="20"/>
                <w:szCs w:val="20"/>
              </w:rPr>
            </w:pPr>
            <w:r>
              <w:rPr>
                <w:sz w:val="20"/>
                <w:szCs w:val="20"/>
              </w:rPr>
              <w:t>25度为起点，在60min将温度下降至-40度，维持90min，再在60min升温至25度，后在90min升温至85度，维持110min，最后在70min降温至25度</w:t>
            </w:r>
          </w:p>
        </w:tc>
        <w:tc>
          <w:tcPr>
            <w:tcW w:w="2194" w:type="pct"/>
            <w:vAlign w:val="center"/>
          </w:tcPr>
          <w:p>
            <w:pPr>
              <w:widowControl w:val="0"/>
              <w:jc w:val="both"/>
              <w:rPr>
                <w:sz w:val="20"/>
                <w:szCs w:val="20"/>
              </w:rPr>
            </w:pPr>
            <w:r>
              <w:rPr>
                <w:sz w:val="20"/>
                <w:szCs w:val="20"/>
              </w:rPr>
              <w:t>BEV调节至100%SOC，HEV调节至80%SOC;</w:t>
            </w:r>
          </w:p>
          <w:p>
            <w:pPr>
              <w:widowControl w:val="0"/>
              <w:jc w:val="both"/>
              <w:rPr>
                <w:sz w:val="20"/>
                <w:szCs w:val="20"/>
              </w:rPr>
            </w:pPr>
            <w:r>
              <w:rPr>
                <w:rFonts w:hint="eastAsia"/>
                <w:sz w:val="20"/>
                <w:szCs w:val="20"/>
              </w:rPr>
              <w:t>按照I</w:t>
            </w:r>
            <w:r>
              <w:rPr>
                <w:sz w:val="20"/>
                <w:szCs w:val="20"/>
              </w:rPr>
              <w:t>SO 16750-4</w:t>
            </w:r>
            <w:r>
              <w:rPr>
                <w:rFonts w:hint="eastAsia"/>
                <w:sz w:val="20"/>
                <w:szCs w:val="20"/>
              </w:rPr>
              <w:t>进行温度循环，</w:t>
            </w:r>
            <w:r>
              <w:rPr>
                <w:sz w:val="20"/>
                <w:szCs w:val="20"/>
              </w:rPr>
              <w:t>测试要求：最低温度-40℃或者电池厂商设定的最低温度；最高温度85℃或者电池厂商设定的最高温度；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12" w:type="pct"/>
            <w:vAlign w:val="center"/>
          </w:tcPr>
          <w:p>
            <w:pPr>
              <w:widowControl w:val="0"/>
              <w:jc w:val="center"/>
              <w:rPr>
                <w:sz w:val="20"/>
                <w:szCs w:val="20"/>
              </w:rPr>
            </w:pPr>
            <w:r>
              <w:rPr>
                <w:sz w:val="20"/>
                <w:szCs w:val="20"/>
              </w:rPr>
              <w:t>通过要求</w:t>
            </w:r>
          </w:p>
        </w:tc>
        <w:tc>
          <w:tcPr>
            <w:tcW w:w="2194" w:type="pct"/>
            <w:vAlign w:val="center"/>
          </w:tcPr>
          <w:p>
            <w:pPr>
              <w:widowControl w:val="0"/>
              <w:jc w:val="center"/>
              <w:rPr>
                <w:sz w:val="20"/>
                <w:szCs w:val="20"/>
              </w:rPr>
            </w:pPr>
            <w:r>
              <w:rPr>
                <w:sz w:val="20"/>
                <w:szCs w:val="20"/>
              </w:rPr>
              <w:t>不起火、不爆炸</w:t>
            </w:r>
          </w:p>
        </w:tc>
        <w:tc>
          <w:tcPr>
            <w:tcW w:w="2194" w:type="pct"/>
            <w:vAlign w:val="center"/>
          </w:tcPr>
          <w:p>
            <w:pPr>
              <w:widowControl w:val="0"/>
              <w:jc w:val="center"/>
              <w:rPr>
                <w:sz w:val="20"/>
                <w:szCs w:val="20"/>
              </w:rPr>
            </w:pPr>
            <w:r>
              <w:rPr>
                <w:sz w:val="20"/>
                <w:szCs w:val="20"/>
              </w:rPr>
              <w:t>无漏液、排气、破裂、起火或爆炸</w:t>
            </w:r>
          </w:p>
        </w:tc>
      </w:tr>
    </w:tbl>
    <w:p>
      <w:pPr>
        <w:spacing w:line="360" w:lineRule="auto"/>
        <w:ind w:firstLine="420" w:firstLineChars="200"/>
        <w:jc w:val="both"/>
        <w:rPr>
          <w:rFonts w:ascii="宋体" w:hAnsi="宋体"/>
        </w:rPr>
      </w:pPr>
      <w:r>
        <w:rPr>
          <w:szCs w:val="21"/>
        </w:rPr>
        <w:t>GB 38031</w:t>
      </w:r>
      <w:r>
        <w:rPr>
          <w:rFonts w:hint="eastAsia"/>
          <w:szCs w:val="21"/>
          <w:lang w:eastAsia="zh-CN"/>
        </w:rPr>
        <w:t>—</w:t>
      </w:r>
      <w:r>
        <w:rPr>
          <w:szCs w:val="21"/>
        </w:rPr>
        <w:t>2020</w:t>
      </w:r>
      <w:r>
        <w:rPr>
          <w:rFonts w:hint="eastAsia"/>
          <w:szCs w:val="21"/>
        </w:rPr>
        <w:t>制定时确立了优化单体级别要求，强化系统层级要求的编制原则。温度循环测试在电池包或系统层级已有不泄露要求，因此，</w:t>
      </w:r>
      <w:r>
        <w:rPr>
          <w:szCs w:val="21"/>
        </w:rPr>
        <w:t>GB 38031</w:t>
      </w:r>
      <w:r>
        <w:rPr>
          <w:rFonts w:hint="eastAsia"/>
          <w:szCs w:val="21"/>
          <w:lang w:eastAsia="zh-CN"/>
        </w:rPr>
        <w:t>—</w:t>
      </w:r>
      <w:r>
        <w:rPr>
          <w:szCs w:val="21"/>
        </w:rPr>
        <w:t>2020</w:t>
      </w:r>
      <w:r>
        <w:rPr>
          <w:rFonts w:hint="eastAsia"/>
          <w:szCs w:val="21"/>
        </w:rPr>
        <w:t>中单体温度循环测试通过要求为不起火、不爆炸。基于同样编制原则，本次修订计划维持2020版本内容不变。</w:t>
      </w:r>
    </w:p>
    <w:p>
      <w:pPr>
        <w:pStyle w:val="19"/>
        <w:numPr>
          <w:ilvl w:val="0"/>
          <w:numId w:val="8"/>
        </w:numPr>
        <w:spacing w:line="400" w:lineRule="exact"/>
        <w:rPr>
          <w:rFonts w:ascii="宋体" w:hAnsi="宋体"/>
        </w:rPr>
      </w:pPr>
      <w:r>
        <w:rPr>
          <w:rFonts w:hint="eastAsia" w:ascii="宋体" w:hAnsi="宋体"/>
        </w:rPr>
        <w:t>挤压测试</w:t>
      </w:r>
    </w:p>
    <w:p>
      <w:pPr>
        <w:spacing w:line="360" w:lineRule="auto"/>
        <w:ind w:firstLine="400"/>
        <w:jc w:val="center"/>
        <w:rPr>
          <w:sz w:val="20"/>
        </w:rPr>
      </w:pPr>
      <w:r>
        <w:rPr>
          <w:rFonts w:hint="eastAsia"/>
          <w:sz w:val="20"/>
        </w:rPr>
        <w:t>表</w:t>
      </w:r>
      <w:r>
        <w:rPr>
          <w:sz w:val="20"/>
        </w:rPr>
        <w:t>18</w:t>
      </w:r>
      <w:r>
        <w:rPr>
          <w:rFonts w:hint="eastAsia"/>
          <w:sz w:val="20"/>
        </w:rPr>
        <w:t>：电池单体挤压测试对比</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
        <w:gridCol w:w="3739"/>
        <w:gridCol w:w="3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11" w:type="pct"/>
            <w:vAlign w:val="center"/>
          </w:tcPr>
          <w:p>
            <w:pPr>
              <w:jc w:val="center"/>
              <w:rPr>
                <w:sz w:val="20"/>
                <w:szCs w:val="20"/>
              </w:rPr>
            </w:pPr>
            <w:r>
              <w:rPr>
                <w:rFonts w:hint="eastAsia"/>
                <w:sz w:val="20"/>
                <w:szCs w:val="20"/>
              </w:rPr>
              <w:t>标准</w:t>
            </w:r>
          </w:p>
        </w:tc>
        <w:tc>
          <w:tcPr>
            <w:tcW w:w="2193" w:type="pct"/>
            <w:vAlign w:val="center"/>
          </w:tcPr>
          <w:p>
            <w:pPr>
              <w:jc w:val="center"/>
              <w:rPr>
                <w:sz w:val="20"/>
                <w:szCs w:val="20"/>
              </w:rPr>
            </w:pPr>
            <w:r>
              <w:rPr>
                <w:rFonts w:hint="eastAsia"/>
                <w:sz w:val="20"/>
                <w:szCs w:val="20"/>
              </w:rPr>
              <w:t>G</w:t>
            </w:r>
            <w:r>
              <w:rPr>
                <w:sz w:val="20"/>
                <w:szCs w:val="20"/>
              </w:rPr>
              <w:t>B 38031</w:t>
            </w:r>
            <w:r>
              <w:rPr>
                <w:rFonts w:hint="eastAsia"/>
                <w:sz w:val="20"/>
                <w:szCs w:val="20"/>
              </w:rPr>
              <w:t>-2020</w:t>
            </w:r>
          </w:p>
        </w:tc>
        <w:tc>
          <w:tcPr>
            <w:tcW w:w="2194" w:type="pct"/>
            <w:vAlign w:val="center"/>
          </w:tcPr>
          <w:p>
            <w:pPr>
              <w:jc w:val="center"/>
              <w:rPr>
                <w:sz w:val="20"/>
                <w:szCs w:val="20"/>
              </w:rPr>
            </w:pPr>
            <w:r>
              <w:rPr>
                <w:rFonts w:hint="eastAsia"/>
                <w:sz w:val="20"/>
                <w:szCs w:val="20"/>
              </w:rPr>
              <w:t>I</w:t>
            </w:r>
            <w:r>
              <w:rPr>
                <w:sz w:val="20"/>
                <w:szCs w:val="20"/>
              </w:rPr>
              <w:t>EC 62660-3:2022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11" w:type="pct"/>
            <w:vAlign w:val="center"/>
          </w:tcPr>
          <w:p>
            <w:pPr>
              <w:widowControl w:val="0"/>
              <w:jc w:val="center"/>
              <w:rPr>
                <w:sz w:val="20"/>
                <w:szCs w:val="20"/>
              </w:rPr>
            </w:pPr>
            <w:r>
              <w:rPr>
                <w:sz w:val="20"/>
                <w:szCs w:val="20"/>
              </w:rPr>
              <w:t>试验方法</w:t>
            </w:r>
          </w:p>
        </w:tc>
        <w:tc>
          <w:tcPr>
            <w:tcW w:w="2193" w:type="pct"/>
            <w:vAlign w:val="center"/>
          </w:tcPr>
          <w:p>
            <w:pPr>
              <w:widowControl w:val="0"/>
              <w:jc w:val="both"/>
              <w:rPr>
                <w:sz w:val="20"/>
                <w:szCs w:val="20"/>
              </w:rPr>
            </w:pPr>
            <w:r>
              <w:rPr>
                <w:sz w:val="20"/>
                <w:szCs w:val="20"/>
              </w:rPr>
              <w:t>挤压方向：（1）垂直于电池单体极板方向；（2）在整车布局上最容易受到挤压的方向</w:t>
            </w:r>
          </w:p>
          <w:p>
            <w:pPr>
              <w:widowControl w:val="0"/>
              <w:jc w:val="both"/>
              <w:rPr>
                <w:sz w:val="20"/>
                <w:szCs w:val="20"/>
              </w:rPr>
            </w:pPr>
            <w:r>
              <w:rPr>
                <w:sz w:val="20"/>
                <w:szCs w:val="20"/>
              </w:rPr>
              <w:t>挤压形式：75mm半圆柱体；长度要大于样品的高度；</w:t>
            </w:r>
          </w:p>
          <w:p>
            <w:pPr>
              <w:widowControl w:val="0"/>
              <w:jc w:val="both"/>
              <w:rPr>
                <w:sz w:val="20"/>
                <w:szCs w:val="20"/>
              </w:rPr>
            </w:pPr>
            <w:r>
              <w:rPr>
                <w:sz w:val="20"/>
                <w:szCs w:val="20"/>
              </w:rPr>
              <w:t>挤压方向：汽车行驶的方向&amp;垂直于其的方向</w:t>
            </w:r>
          </w:p>
          <w:p>
            <w:pPr>
              <w:widowControl w:val="0"/>
              <w:jc w:val="both"/>
              <w:rPr>
                <w:sz w:val="20"/>
                <w:szCs w:val="20"/>
              </w:rPr>
            </w:pPr>
            <w:r>
              <w:rPr>
                <w:sz w:val="20"/>
                <w:szCs w:val="20"/>
              </w:rPr>
              <w:t>挤压速度：≤2mm/s</w:t>
            </w:r>
          </w:p>
          <w:p>
            <w:pPr>
              <w:widowControl w:val="0"/>
              <w:jc w:val="both"/>
              <w:rPr>
                <w:sz w:val="20"/>
                <w:szCs w:val="20"/>
              </w:rPr>
            </w:pPr>
            <w:r>
              <w:rPr>
                <w:sz w:val="20"/>
                <w:szCs w:val="20"/>
              </w:rPr>
              <w:t>挤压程度：</w:t>
            </w:r>
            <w:r>
              <w:rPr>
                <w:rFonts w:hint="eastAsia"/>
                <w:sz w:val="20"/>
                <w:szCs w:val="20"/>
              </w:rPr>
              <w:t>0V或</w:t>
            </w:r>
            <w:r>
              <w:rPr>
                <w:sz w:val="20"/>
                <w:szCs w:val="20"/>
              </w:rPr>
              <w:t>挤压力达到100</w:t>
            </w:r>
            <w:r>
              <w:rPr>
                <w:rFonts w:hint="eastAsia"/>
                <w:sz w:val="20"/>
                <w:szCs w:val="20"/>
                <w:lang w:val="en-US" w:eastAsia="zh-CN"/>
              </w:rPr>
              <w:t>k</w:t>
            </w:r>
            <w:r>
              <w:rPr>
                <w:sz w:val="20"/>
                <w:szCs w:val="20"/>
              </w:rPr>
              <w:t>N</w:t>
            </w:r>
            <w:r>
              <w:rPr>
                <w:rFonts w:hint="eastAsia"/>
                <w:sz w:val="20"/>
                <w:szCs w:val="20"/>
              </w:rPr>
              <w:t>或</w:t>
            </w:r>
            <w:r>
              <w:rPr>
                <w:sz w:val="20"/>
                <w:szCs w:val="20"/>
              </w:rPr>
              <w:t>变形量达到</w:t>
            </w:r>
            <w:r>
              <w:rPr>
                <w:rFonts w:hint="eastAsia"/>
                <w:sz w:val="20"/>
                <w:szCs w:val="20"/>
              </w:rPr>
              <w:t>15</w:t>
            </w:r>
            <w:r>
              <w:rPr>
                <w:sz w:val="20"/>
                <w:szCs w:val="20"/>
              </w:rPr>
              <w:t>%</w:t>
            </w:r>
            <w:r>
              <w:rPr>
                <w:rFonts w:hint="eastAsia"/>
                <w:sz w:val="20"/>
                <w:szCs w:val="20"/>
              </w:rPr>
              <w:t>或1000倍试验对象重量</w:t>
            </w:r>
            <w:r>
              <w:rPr>
                <w:sz w:val="20"/>
                <w:szCs w:val="20"/>
              </w:rPr>
              <w:t>，保持10min</w:t>
            </w:r>
          </w:p>
        </w:tc>
        <w:tc>
          <w:tcPr>
            <w:tcW w:w="2194" w:type="pct"/>
            <w:vAlign w:val="center"/>
          </w:tcPr>
          <w:p>
            <w:pPr>
              <w:widowControl w:val="0"/>
              <w:jc w:val="both"/>
              <w:rPr>
                <w:sz w:val="20"/>
                <w:szCs w:val="20"/>
              </w:rPr>
            </w:pPr>
            <w:r>
              <w:rPr>
                <w:sz w:val="20"/>
                <w:szCs w:val="20"/>
              </w:rPr>
              <w:t>挤压</w:t>
            </w:r>
            <w:r>
              <w:rPr>
                <w:rFonts w:hint="eastAsia"/>
                <w:sz w:val="20"/>
                <w:szCs w:val="20"/>
              </w:rPr>
              <w:t>工装</w:t>
            </w:r>
            <w:r>
              <w:rPr>
                <w:sz w:val="20"/>
                <w:szCs w:val="20"/>
              </w:rPr>
              <w:t>：对圆柱电芯使用半圆柱棒；对方壳电芯使用半圆球棒；</w:t>
            </w:r>
            <w:r>
              <w:rPr>
                <w:sz w:val="20"/>
                <w:szCs w:val="20"/>
              </w:rPr>
              <w:br w:type="textWrapping"/>
            </w:r>
            <w:r>
              <w:rPr>
                <w:sz w:val="20"/>
                <w:szCs w:val="20"/>
              </w:rPr>
              <w:t>挤压方向：</w:t>
            </w:r>
            <w:r>
              <w:rPr>
                <w:rFonts w:hint="eastAsia"/>
                <w:sz w:val="20"/>
                <w:szCs w:val="20"/>
                <w:lang w:bidi="ar"/>
              </w:rPr>
              <w:t>垂直于电芯内部正极和负极极片大面</w:t>
            </w:r>
            <w:r>
              <w:rPr>
                <w:sz w:val="20"/>
                <w:szCs w:val="20"/>
              </w:rPr>
              <w:t>；</w:t>
            </w:r>
          </w:p>
          <w:p>
            <w:pPr>
              <w:widowControl w:val="0"/>
              <w:jc w:val="both"/>
              <w:rPr>
                <w:sz w:val="20"/>
                <w:szCs w:val="20"/>
              </w:rPr>
            </w:pPr>
            <w:r>
              <w:rPr>
                <w:sz w:val="20"/>
                <w:szCs w:val="20"/>
              </w:rPr>
              <w:t>截止条件：电压降低至初始电压的1/3</w:t>
            </w:r>
            <w:r>
              <w:rPr>
                <w:rFonts w:hint="eastAsia"/>
                <w:sz w:val="20"/>
                <w:szCs w:val="20"/>
              </w:rPr>
              <w:t>或</w:t>
            </w:r>
            <w:r>
              <w:rPr>
                <w:sz w:val="20"/>
                <w:szCs w:val="20"/>
              </w:rPr>
              <w:t>形变量</w:t>
            </w:r>
            <w:r>
              <w:rPr>
                <w:rFonts w:hint="eastAsia"/>
                <w:sz w:val="20"/>
                <w:szCs w:val="20"/>
              </w:rPr>
              <w:t>达到</w:t>
            </w:r>
            <w:r>
              <w:rPr>
                <w:sz w:val="20"/>
                <w:szCs w:val="20"/>
              </w:rPr>
              <w:t>15%</w:t>
            </w:r>
            <w:r>
              <w:rPr>
                <w:rFonts w:hint="eastAsia"/>
                <w:sz w:val="20"/>
                <w:szCs w:val="20"/>
              </w:rPr>
              <w:t>或</w:t>
            </w:r>
            <w:r>
              <w:rPr>
                <w:sz w:val="20"/>
                <w:szCs w:val="20"/>
              </w:rPr>
              <w:t>施加力达到电池自重的100倍；</w:t>
            </w:r>
            <w:r>
              <w:rPr>
                <w:sz w:val="20"/>
                <w:szCs w:val="20"/>
              </w:rPr>
              <w:br w:type="textWrapping"/>
            </w:r>
            <w:r>
              <w:rPr>
                <w:sz w:val="20"/>
                <w:szCs w:val="20"/>
              </w:rPr>
              <w:t xml:space="preserve">挤压时间保持24h </w:t>
            </w:r>
            <w:r>
              <w:rPr>
                <w:rFonts w:hint="eastAsia"/>
                <w:sz w:val="20"/>
                <w:szCs w:val="20"/>
              </w:rPr>
              <w:t>或</w:t>
            </w:r>
            <w:r>
              <w:rPr>
                <w:sz w:val="20"/>
                <w:szCs w:val="20"/>
              </w:rPr>
              <w:t>外壳温度下降至最大温升的20%</w:t>
            </w:r>
          </w:p>
          <w:p>
            <w:pPr>
              <w:widowControl w:val="0"/>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trPr>
        <w:tc>
          <w:tcPr>
            <w:tcW w:w="611" w:type="pct"/>
            <w:vAlign w:val="center"/>
          </w:tcPr>
          <w:p>
            <w:pPr>
              <w:widowControl w:val="0"/>
              <w:jc w:val="center"/>
              <w:rPr>
                <w:sz w:val="20"/>
                <w:szCs w:val="20"/>
              </w:rPr>
            </w:pPr>
            <w:r>
              <w:rPr>
                <w:sz w:val="20"/>
                <w:szCs w:val="20"/>
              </w:rPr>
              <w:t>挤压板</w:t>
            </w:r>
          </w:p>
        </w:tc>
        <w:tc>
          <w:tcPr>
            <w:tcW w:w="2193" w:type="pct"/>
            <w:vAlign w:val="center"/>
          </w:tcPr>
          <w:p>
            <w:pPr>
              <w:widowControl w:val="0"/>
              <w:jc w:val="center"/>
              <w:rPr>
                <w:sz w:val="20"/>
                <w:szCs w:val="20"/>
              </w:rPr>
            </w:pPr>
            <w:r>
              <w:rPr>
                <w:sz w:val="20"/>
                <w:szCs w:val="20"/>
              </w:rPr>
              <w:drawing>
                <wp:anchor distT="0" distB="0" distL="114300" distR="114300" simplePos="0" relativeHeight="251660288" behindDoc="0" locked="0" layoutInCell="1" allowOverlap="1">
                  <wp:simplePos x="0" y="0"/>
                  <wp:positionH relativeFrom="column">
                    <wp:posOffset>3810</wp:posOffset>
                  </wp:positionH>
                  <wp:positionV relativeFrom="paragraph">
                    <wp:posOffset>0</wp:posOffset>
                  </wp:positionV>
                  <wp:extent cx="1329055" cy="1207135"/>
                  <wp:effectExtent l="0" t="0" r="4445" b="0"/>
                  <wp:wrapSquare wrapText="bothSides"/>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329267" cy="1206890"/>
                          </a:xfrm>
                          <a:prstGeom prst="rect">
                            <a:avLst/>
                          </a:prstGeom>
                        </pic:spPr>
                      </pic:pic>
                    </a:graphicData>
                  </a:graphic>
                </wp:anchor>
              </w:drawing>
            </w:r>
          </w:p>
        </w:tc>
        <w:tc>
          <w:tcPr>
            <w:tcW w:w="2194" w:type="pct"/>
            <w:vAlign w:val="center"/>
          </w:tcPr>
          <w:p>
            <w:pPr>
              <w:widowControl w:val="0"/>
              <w:jc w:val="center"/>
              <w:rPr>
                <w:sz w:val="20"/>
                <w:szCs w:val="20"/>
              </w:rPr>
            </w:pPr>
            <w:r>
              <w:rPr>
                <w:sz w:val="20"/>
                <w:szCs w:val="20"/>
              </w:rPr>
              <w:drawing>
                <wp:anchor distT="0" distB="0" distL="114300" distR="114300" simplePos="0" relativeHeight="251661312" behindDoc="0" locked="0" layoutInCell="1" allowOverlap="1">
                  <wp:simplePos x="0" y="0"/>
                  <wp:positionH relativeFrom="column">
                    <wp:posOffset>-1270</wp:posOffset>
                  </wp:positionH>
                  <wp:positionV relativeFrom="paragraph">
                    <wp:posOffset>0</wp:posOffset>
                  </wp:positionV>
                  <wp:extent cx="1346200" cy="1087120"/>
                  <wp:effectExtent l="0" t="0" r="6350" b="0"/>
                  <wp:wrapSquare wrapText="bothSides"/>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46200" cy="1087203"/>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11" w:type="pct"/>
            <w:vAlign w:val="center"/>
          </w:tcPr>
          <w:p>
            <w:pPr>
              <w:widowControl w:val="0"/>
              <w:jc w:val="center"/>
              <w:rPr>
                <w:sz w:val="20"/>
                <w:szCs w:val="20"/>
              </w:rPr>
            </w:pPr>
            <w:r>
              <w:rPr>
                <w:sz w:val="20"/>
                <w:szCs w:val="20"/>
              </w:rPr>
              <w:t>通过要求</w:t>
            </w:r>
          </w:p>
        </w:tc>
        <w:tc>
          <w:tcPr>
            <w:tcW w:w="2193" w:type="pct"/>
            <w:vAlign w:val="center"/>
          </w:tcPr>
          <w:p>
            <w:pPr>
              <w:widowControl w:val="0"/>
              <w:jc w:val="center"/>
              <w:rPr>
                <w:sz w:val="20"/>
                <w:szCs w:val="20"/>
              </w:rPr>
            </w:pPr>
            <w:r>
              <w:rPr>
                <w:sz w:val="20"/>
                <w:szCs w:val="20"/>
              </w:rPr>
              <w:t>不起火、不爆炸</w:t>
            </w:r>
          </w:p>
        </w:tc>
        <w:tc>
          <w:tcPr>
            <w:tcW w:w="2194" w:type="pct"/>
            <w:vAlign w:val="center"/>
          </w:tcPr>
          <w:p>
            <w:pPr>
              <w:widowControl w:val="0"/>
              <w:jc w:val="center"/>
              <w:rPr>
                <w:sz w:val="20"/>
                <w:szCs w:val="20"/>
              </w:rPr>
            </w:pPr>
            <w:r>
              <w:rPr>
                <w:sz w:val="20"/>
                <w:szCs w:val="20"/>
              </w:rPr>
              <w:t>不起火、不爆炸</w:t>
            </w:r>
          </w:p>
        </w:tc>
      </w:tr>
    </w:tbl>
    <w:p>
      <w:pPr>
        <w:spacing w:line="360" w:lineRule="auto"/>
        <w:ind w:firstLine="420"/>
        <w:jc w:val="both"/>
        <w:rPr>
          <w:rFonts w:ascii="宋体" w:hAnsi="宋体"/>
          <w:szCs w:val="21"/>
        </w:rPr>
      </w:pPr>
      <w:r>
        <w:rPr>
          <w:szCs w:val="21"/>
        </w:rPr>
        <w:t>GB 38031</w:t>
      </w:r>
      <w:r>
        <w:rPr>
          <w:rFonts w:hint="eastAsia" w:ascii="宋体" w:hAnsi="宋体"/>
          <w:szCs w:val="21"/>
        </w:rPr>
        <w:t>相比</w:t>
      </w:r>
      <w:r>
        <w:rPr>
          <w:rFonts w:hint="eastAsia"/>
          <w:szCs w:val="21"/>
        </w:rPr>
        <w:t>IEC</w:t>
      </w:r>
      <w:r>
        <w:rPr>
          <w:szCs w:val="21"/>
        </w:rPr>
        <w:t xml:space="preserve"> 62660-3</w:t>
      </w:r>
      <w:r>
        <w:rPr>
          <w:rFonts w:hint="eastAsia" w:ascii="宋体" w:hAnsi="宋体"/>
          <w:szCs w:val="21"/>
        </w:rPr>
        <w:t>标准，额外规定了挤压力截止，主要是参考了国际标准</w:t>
      </w:r>
      <w:r>
        <w:rPr>
          <w:rFonts w:ascii="宋体" w:hAnsi="宋体"/>
          <w:szCs w:val="21"/>
        </w:rPr>
        <w:t>法规</w:t>
      </w:r>
      <w:r>
        <w:rPr>
          <w:rFonts w:hint="eastAsia"/>
          <w:szCs w:val="21"/>
        </w:rPr>
        <w:t>EVS-GTR</w:t>
      </w:r>
      <w:r>
        <w:rPr>
          <w:rFonts w:hint="eastAsia" w:ascii="宋体" w:hAnsi="宋体"/>
          <w:szCs w:val="21"/>
        </w:rPr>
        <w:t>、</w:t>
      </w:r>
      <w:r>
        <w:rPr>
          <w:rFonts w:hint="eastAsia"/>
          <w:szCs w:val="21"/>
        </w:rPr>
        <w:t>UN R100</w:t>
      </w:r>
      <w:r>
        <w:rPr>
          <w:rFonts w:hint="eastAsia" w:ascii="宋体" w:hAnsi="宋体"/>
          <w:szCs w:val="21"/>
        </w:rPr>
        <w:t>等对电池包挤压力</w:t>
      </w:r>
      <w:r>
        <w:rPr>
          <w:rFonts w:hint="eastAsia"/>
          <w:szCs w:val="21"/>
        </w:rPr>
        <w:t>100kN</w:t>
      </w:r>
      <w:r>
        <w:rPr>
          <w:rFonts w:hint="eastAsia" w:ascii="宋体" w:hAnsi="宋体"/>
          <w:szCs w:val="21"/>
        </w:rPr>
        <w:t>的规定，实际上电池包在受到</w:t>
      </w:r>
      <w:r>
        <w:rPr>
          <w:rFonts w:hint="eastAsia"/>
          <w:szCs w:val="21"/>
        </w:rPr>
        <w:t>100k</w:t>
      </w:r>
      <w:r>
        <w:rPr>
          <w:szCs w:val="21"/>
        </w:rPr>
        <w:t>N</w:t>
      </w:r>
      <w:r>
        <w:rPr>
          <w:rFonts w:ascii="宋体" w:hAnsi="宋体"/>
          <w:szCs w:val="21"/>
        </w:rPr>
        <w:t>挤压力</w:t>
      </w:r>
      <w:r>
        <w:rPr>
          <w:rFonts w:hint="eastAsia" w:ascii="宋体" w:hAnsi="宋体"/>
          <w:szCs w:val="21"/>
        </w:rPr>
        <w:t>的情况下，</w:t>
      </w:r>
      <w:r>
        <w:rPr>
          <w:rFonts w:ascii="宋体" w:hAnsi="宋体"/>
          <w:szCs w:val="21"/>
        </w:rPr>
        <w:t>电池单体所受挤压力</w:t>
      </w:r>
      <w:r>
        <w:rPr>
          <w:rFonts w:hint="eastAsia" w:ascii="宋体" w:hAnsi="宋体"/>
          <w:szCs w:val="21"/>
        </w:rPr>
        <w:t>均</w:t>
      </w:r>
      <w:r>
        <w:rPr>
          <w:rFonts w:ascii="宋体" w:hAnsi="宋体"/>
          <w:szCs w:val="21"/>
        </w:rPr>
        <w:t>低于</w:t>
      </w:r>
      <w:r>
        <w:rPr>
          <w:rFonts w:hint="eastAsia"/>
          <w:szCs w:val="21"/>
        </w:rPr>
        <w:t>100k</w:t>
      </w:r>
      <w:r>
        <w:rPr>
          <w:szCs w:val="21"/>
        </w:rPr>
        <w:t>N</w:t>
      </w:r>
      <w:r>
        <w:rPr>
          <w:rFonts w:hint="eastAsia" w:ascii="宋体" w:hAnsi="宋体"/>
          <w:szCs w:val="21"/>
        </w:rPr>
        <w:t>。因此</w:t>
      </w:r>
      <w:r>
        <w:rPr>
          <w:rFonts w:ascii="宋体" w:hAnsi="宋体"/>
          <w:szCs w:val="21"/>
        </w:rPr>
        <w:t>，</w:t>
      </w:r>
      <w:r>
        <w:rPr>
          <w:rFonts w:hint="eastAsia" w:ascii="宋体" w:hAnsi="宋体"/>
          <w:szCs w:val="21"/>
        </w:rPr>
        <w:t>前期</w:t>
      </w:r>
      <w:r>
        <w:rPr>
          <w:rFonts w:hint="eastAsia"/>
          <w:szCs w:val="21"/>
        </w:rPr>
        <w:t>2020</w:t>
      </w:r>
      <w:r>
        <w:rPr>
          <w:rFonts w:hint="eastAsia" w:ascii="宋体" w:hAnsi="宋体"/>
          <w:szCs w:val="21"/>
        </w:rPr>
        <w:t>版制定时，</w:t>
      </w:r>
      <w:r>
        <w:rPr>
          <w:rFonts w:ascii="宋体" w:hAnsi="宋体"/>
          <w:szCs w:val="21"/>
        </w:rPr>
        <w:t>工作组讨论确定，将电池单体挤压力</w:t>
      </w:r>
      <w:r>
        <w:rPr>
          <w:rFonts w:hint="eastAsia"/>
          <w:szCs w:val="21"/>
        </w:rPr>
        <w:t>100</w:t>
      </w:r>
      <w:r>
        <w:rPr>
          <w:szCs w:val="21"/>
        </w:rPr>
        <w:t>kN</w:t>
      </w:r>
      <w:r>
        <w:rPr>
          <w:rFonts w:hint="eastAsia" w:ascii="宋体" w:hAnsi="宋体"/>
          <w:szCs w:val="21"/>
        </w:rPr>
        <w:t>作为截止条件之一。基于同样编制原则，本次修订计划维持2020版本内容不变。</w:t>
      </w:r>
    </w:p>
    <w:p>
      <w:pPr>
        <w:pStyle w:val="19"/>
        <w:numPr>
          <w:ilvl w:val="0"/>
          <w:numId w:val="7"/>
        </w:numPr>
        <w:spacing w:line="360" w:lineRule="auto"/>
        <w:jc w:val="both"/>
        <w:rPr>
          <w:rFonts w:ascii="宋体" w:hAnsi="宋体"/>
        </w:rPr>
      </w:pPr>
      <w:r>
        <w:rPr>
          <w:rFonts w:hint="eastAsia" w:ascii="宋体" w:hAnsi="宋体"/>
        </w:rPr>
        <w:t>电池包或系统测试</w:t>
      </w:r>
    </w:p>
    <w:p>
      <w:pPr>
        <w:pStyle w:val="19"/>
        <w:keepNext w:val="0"/>
        <w:keepLines w:val="0"/>
        <w:pageBreakBefore w:val="0"/>
        <w:widowControl/>
        <w:numPr>
          <w:ilvl w:val="0"/>
          <w:numId w:val="9"/>
        </w:numPr>
        <w:kinsoku/>
        <w:wordWrap/>
        <w:overflowPunct/>
        <w:topLinePunct w:val="0"/>
        <w:autoSpaceDE/>
        <w:autoSpaceDN/>
        <w:bidi w:val="0"/>
        <w:adjustRightInd/>
        <w:snapToGrid/>
        <w:spacing w:line="360" w:lineRule="auto"/>
        <w:ind w:left="0" w:firstLine="420" w:firstLineChars="200"/>
        <w:jc w:val="both"/>
        <w:textAlignment w:val="auto"/>
        <w:rPr>
          <w:rFonts w:ascii="宋体" w:hAnsi="宋体"/>
        </w:rPr>
      </w:pPr>
      <w:r>
        <w:rPr>
          <w:rFonts w:hint="eastAsia" w:ascii="宋体" w:hAnsi="宋体"/>
        </w:rPr>
        <w:t>振动：振动测试拟产品在运输、安装及使用环境下所遭遇到的各种振动环境影响，用来确定产品是否能承受各种环境振动的能力。测试方法对比情况如表</w:t>
      </w:r>
      <w:r>
        <w:rPr>
          <w:rFonts w:ascii="宋体" w:hAnsi="宋体"/>
        </w:rPr>
        <w:t>19</w:t>
      </w:r>
      <w:r>
        <w:rPr>
          <w:rFonts w:hint="eastAsia" w:ascii="宋体" w:hAnsi="宋体"/>
        </w:rPr>
        <w:t>所示：</w:t>
      </w:r>
    </w:p>
    <w:p>
      <w:pPr>
        <w:spacing w:line="360" w:lineRule="auto"/>
        <w:ind w:firstLine="400"/>
        <w:jc w:val="center"/>
        <w:rPr>
          <w:sz w:val="20"/>
        </w:rPr>
      </w:pPr>
      <w:r>
        <w:rPr>
          <w:rFonts w:hint="eastAsia"/>
          <w:sz w:val="20"/>
        </w:rPr>
        <w:t>表</w:t>
      </w:r>
      <w:r>
        <w:rPr>
          <w:sz w:val="20"/>
        </w:rPr>
        <w:t>19</w:t>
      </w:r>
      <w:r>
        <w:rPr>
          <w:rFonts w:hint="eastAsia"/>
          <w:sz w:val="20"/>
        </w:rPr>
        <w:t>：电池包或系统振动测试对比</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2338"/>
        <w:gridCol w:w="2192"/>
        <w:gridCol w:w="1459"/>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2" w:type="pct"/>
            <w:vAlign w:val="center"/>
          </w:tcPr>
          <w:p>
            <w:pPr>
              <w:widowControl w:val="0"/>
              <w:spacing w:line="276" w:lineRule="auto"/>
              <w:jc w:val="both"/>
              <w:rPr>
                <w:sz w:val="20"/>
                <w:szCs w:val="21"/>
              </w:rPr>
            </w:pPr>
            <w:bookmarkStart w:id="50" w:name="_Hlk162716883"/>
            <w:r>
              <w:rPr>
                <w:rFonts w:hint="eastAsia"/>
                <w:sz w:val="20"/>
                <w:szCs w:val="21"/>
              </w:rPr>
              <w:t>标准</w:t>
            </w:r>
          </w:p>
        </w:tc>
        <w:tc>
          <w:tcPr>
            <w:tcW w:w="1372" w:type="pct"/>
            <w:vAlign w:val="center"/>
          </w:tcPr>
          <w:p>
            <w:pPr>
              <w:spacing w:line="276" w:lineRule="auto"/>
              <w:jc w:val="both"/>
              <w:rPr>
                <w:sz w:val="20"/>
                <w:szCs w:val="21"/>
              </w:rPr>
            </w:pPr>
            <w:r>
              <w:rPr>
                <w:szCs w:val="21"/>
              </w:rPr>
              <w:t>GB 38031</w:t>
            </w:r>
            <w:r>
              <w:rPr>
                <w:rFonts w:hint="eastAsia"/>
                <w:szCs w:val="21"/>
                <w:lang w:eastAsia="zh-CN"/>
              </w:rPr>
              <w:t>—</w:t>
            </w:r>
            <w:r>
              <w:rPr>
                <w:szCs w:val="21"/>
              </w:rPr>
              <w:t>2020</w:t>
            </w:r>
          </w:p>
        </w:tc>
        <w:tc>
          <w:tcPr>
            <w:tcW w:w="1286" w:type="pct"/>
            <w:vAlign w:val="center"/>
          </w:tcPr>
          <w:p>
            <w:pPr>
              <w:spacing w:line="276" w:lineRule="auto"/>
              <w:jc w:val="both"/>
              <w:rPr>
                <w:sz w:val="20"/>
                <w:szCs w:val="21"/>
              </w:rPr>
            </w:pPr>
            <w:r>
              <w:rPr>
                <w:rFonts w:hint="eastAsia"/>
                <w:sz w:val="20"/>
                <w:szCs w:val="21"/>
              </w:rPr>
              <w:t>ISO 6469-1:2019</w:t>
            </w:r>
          </w:p>
        </w:tc>
        <w:tc>
          <w:tcPr>
            <w:tcW w:w="856" w:type="pct"/>
            <w:vAlign w:val="center"/>
          </w:tcPr>
          <w:p>
            <w:pPr>
              <w:spacing w:line="276" w:lineRule="auto"/>
              <w:jc w:val="both"/>
              <w:rPr>
                <w:sz w:val="20"/>
                <w:szCs w:val="21"/>
              </w:rPr>
            </w:pPr>
            <w:r>
              <w:rPr>
                <w:rFonts w:hint="eastAsia"/>
                <w:sz w:val="20"/>
                <w:szCs w:val="21"/>
              </w:rPr>
              <w:t>EVS</w:t>
            </w:r>
            <w:r>
              <w:rPr>
                <w:sz w:val="20"/>
                <w:szCs w:val="21"/>
              </w:rPr>
              <w:t>-</w:t>
            </w:r>
            <w:r>
              <w:rPr>
                <w:rFonts w:hint="eastAsia"/>
                <w:sz w:val="20"/>
                <w:szCs w:val="21"/>
              </w:rPr>
              <w:t>GTR</w:t>
            </w:r>
          </w:p>
        </w:tc>
        <w:tc>
          <w:tcPr>
            <w:tcW w:w="802" w:type="pct"/>
            <w:vAlign w:val="center"/>
          </w:tcPr>
          <w:p>
            <w:pPr>
              <w:spacing w:line="276" w:lineRule="auto"/>
              <w:jc w:val="both"/>
              <w:rPr>
                <w:sz w:val="20"/>
                <w:szCs w:val="21"/>
              </w:rPr>
            </w:pPr>
            <w:r>
              <w:rPr>
                <w:sz w:val="20"/>
                <w:szCs w:val="21"/>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2" w:type="pct"/>
            <w:vAlign w:val="center"/>
          </w:tcPr>
          <w:p>
            <w:pPr>
              <w:widowControl w:val="0"/>
              <w:spacing w:line="276" w:lineRule="auto"/>
              <w:jc w:val="both"/>
              <w:rPr>
                <w:sz w:val="20"/>
                <w:szCs w:val="21"/>
              </w:rPr>
            </w:pPr>
            <w:r>
              <w:rPr>
                <w:sz w:val="20"/>
                <w:szCs w:val="21"/>
              </w:rPr>
              <w:t>振动方式</w:t>
            </w:r>
          </w:p>
        </w:tc>
        <w:tc>
          <w:tcPr>
            <w:tcW w:w="1372" w:type="pct"/>
            <w:vAlign w:val="center"/>
          </w:tcPr>
          <w:p>
            <w:pPr>
              <w:widowControl w:val="0"/>
              <w:spacing w:line="276" w:lineRule="auto"/>
              <w:jc w:val="both"/>
              <w:rPr>
                <w:sz w:val="20"/>
                <w:szCs w:val="21"/>
              </w:rPr>
            </w:pPr>
            <w:r>
              <w:rPr>
                <w:sz w:val="20"/>
                <w:szCs w:val="21"/>
              </w:rPr>
              <w:t>随机振动+定频振动</w:t>
            </w:r>
          </w:p>
        </w:tc>
        <w:tc>
          <w:tcPr>
            <w:tcW w:w="1286" w:type="pct"/>
            <w:vAlign w:val="center"/>
          </w:tcPr>
          <w:p>
            <w:pPr>
              <w:widowControl w:val="0"/>
              <w:spacing w:line="276" w:lineRule="auto"/>
              <w:jc w:val="both"/>
              <w:rPr>
                <w:sz w:val="20"/>
                <w:szCs w:val="21"/>
              </w:rPr>
            </w:pPr>
            <w:r>
              <w:rPr>
                <w:sz w:val="20"/>
                <w:szCs w:val="21"/>
              </w:rPr>
              <w:t>正弦扫频</w:t>
            </w:r>
          </w:p>
        </w:tc>
        <w:tc>
          <w:tcPr>
            <w:tcW w:w="1659" w:type="pct"/>
            <w:gridSpan w:val="2"/>
          </w:tcPr>
          <w:p>
            <w:pPr>
              <w:widowControl w:val="0"/>
              <w:spacing w:line="276" w:lineRule="auto"/>
              <w:jc w:val="both"/>
              <w:rPr>
                <w:sz w:val="20"/>
                <w:szCs w:val="21"/>
              </w:rPr>
            </w:pPr>
            <w:r>
              <w:rPr>
                <w:sz w:val="20"/>
                <w:szCs w:val="21"/>
              </w:rPr>
              <w:t>正弦扫频</w:t>
            </w:r>
          </w:p>
        </w:tc>
      </w:tr>
      <w:bookmarkEnd w:id="5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2" w:type="pct"/>
            <w:vAlign w:val="center"/>
          </w:tcPr>
          <w:p>
            <w:pPr>
              <w:widowControl w:val="0"/>
              <w:spacing w:line="276" w:lineRule="auto"/>
              <w:jc w:val="both"/>
              <w:rPr>
                <w:sz w:val="20"/>
                <w:szCs w:val="21"/>
              </w:rPr>
            </w:pPr>
            <w:r>
              <w:rPr>
                <w:sz w:val="20"/>
                <w:szCs w:val="21"/>
              </w:rPr>
              <w:t>SOC要求</w:t>
            </w:r>
          </w:p>
        </w:tc>
        <w:tc>
          <w:tcPr>
            <w:tcW w:w="1372" w:type="pct"/>
            <w:vAlign w:val="center"/>
          </w:tcPr>
          <w:p>
            <w:pPr>
              <w:widowControl w:val="0"/>
              <w:spacing w:line="276" w:lineRule="auto"/>
              <w:jc w:val="both"/>
              <w:rPr>
                <w:sz w:val="20"/>
                <w:szCs w:val="21"/>
              </w:rPr>
            </w:pPr>
            <w:r>
              <w:rPr>
                <w:sz w:val="20"/>
                <w:szCs w:val="21"/>
              </w:rPr>
              <w:t>SOC≥50%</w:t>
            </w:r>
          </w:p>
        </w:tc>
        <w:tc>
          <w:tcPr>
            <w:tcW w:w="1286" w:type="pct"/>
            <w:vAlign w:val="center"/>
          </w:tcPr>
          <w:p>
            <w:pPr>
              <w:widowControl w:val="0"/>
              <w:spacing w:line="276" w:lineRule="auto"/>
              <w:jc w:val="both"/>
              <w:rPr>
                <w:sz w:val="20"/>
                <w:szCs w:val="21"/>
              </w:rPr>
            </w:pPr>
            <w:r>
              <w:rPr>
                <w:rFonts w:hint="eastAsia"/>
                <w:sz w:val="20"/>
                <w:szCs w:val="21"/>
              </w:rPr>
              <w:t>最高使用SOC</w:t>
            </w:r>
          </w:p>
        </w:tc>
        <w:tc>
          <w:tcPr>
            <w:tcW w:w="1659" w:type="pct"/>
            <w:gridSpan w:val="2"/>
          </w:tcPr>
          <w:p>
            <w:pPr>
              <w:widowControl w:val="0"/>
              <w:spacing w:line="276" w:lineRule="auto"/>
              <w:jc w:val="both"/>
              <w:rPr>
                <w:sz w:val="20"/>
                <w:szCs w:val="21"/>
              </w:rPr>
            </w:pPr>
            <w:r>
              <w:rPr>
                <w:rFonts w:hint="eastAsia"/>
                <w:sz w:val="20"/>
                <w:szCs w:val="21"/>
              </w:rPr>
              <w:t>最高使用SOC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2" w:type="pct"/>
            <w:vAlign w:val="center"/>
          </w:tcPr>
          <w:p>
            <w:pPr>
              <w:widowControl w:val="0"/>
              <w:spacing w:line="276" w:lineRule="auto"/>
              <w:jc w:val="both"/>
              <w:rPr>
                <w:sz w:val="20"/>
                <w:szCs w:val="21"/>
              </w:rPr>
            </w:pPr>
            <w:r>
              <w:rPr>
                <w:sz w:val="20"/>
                <w:szCs w:val="21"/>
              </w:rPr>
              <w:t>测试时间</w:t>
            </w:r>
          </w:p>
        </w:tc>
        <w:tc>
          <w:tcPr>
            <w:tcW w:w="1372" w:type="pct"/>
            <w:vAlign w:val="center"/>
          </w:tcPr>
          <w:p>
            <w:pPr>
              <w:widowControl w:val="0"/>
              <w:spacing w:line="276" w:lineRule="auto"/>
              <w:rPr>
                <w:szCs w:val="21"/>
              </w:rPr>
            </w:pPr>
            <w:r>
              <w:rPr>
                <w:szCs w:val="21"/>
                <w:lang w:bidi="ar"/>
              </w:rPr>
              <w:t>M1,N1</w:t>
            </w:r>
            <w:r>
              <w:rPr>
                <w:rFonts w:hint="eastAsia" w:cs="宋体"/>
                <w:szCs w:val="21"/>
                <w:lang w:bidi="ar"/>
              </w:rPr>
              <w:t>类：</w:t>
            </w:r>
            <w:r>
              <w:rPr>
                <w:szCs w:val="21"/>
                <w:lang w:bidi="ar"/>
              </w:rPr>
              <w:t>12h+1h</w:t>
            </w:r>
          </w:p>
          <w:p>
            <w:r>
              <w:rPr>
                <w:rFonts w:hint="eastAsia"/>
                <w:szCs w:val="21"/>
                <w:lang w:bidi="ar"/>
              </w:rPr>
              <w:t>非</w:t>
            </w:r>
            <w:r>
              <w:rPr>
                <w:szCs w:val="21"/>
                <w:lang w:bidi="ar"/>
              </w:rPr>
              <w:t>M1,N1</w:t>
            </w:r>
            <w:r>
              <w:rPr>
                <w:rFonts w:hint="eastAsia"/>
                <w:szCs w:val="21"/>
                <w:lang w:bidi="ar"/>
              </w:rPr>
              <w:t>类：</w:t>
            </w:r>
            <w:r>
              <w:rPr>
                <w:szCs w:val="21"/>
                <w:lang w:bidi="ar"/>
              </w:rPr>
              <w:t>12h+2h</w:t>
            </w:r>
            <w:r>
              <w:rPr>
                <w:rFonts w:ascii="宋体" w:hAnsi="宋体" w:cs="宋体"/>
                <w:sz w:val="24"/>
                <w:lang w:bidi="ar"/>
              </w:rPr>
              <w:t xml:space="preserve"> </w:t>
            </w:r>
          </w:p>
          <w:p>
            <w:pPr>
              <w:widowControl w:val="0"/>
              <w:spacing w:line="276" w:lineRule="auto"/>
              <w:jc w:val="both"/>
              <w:rPr>
                <w:sz w:val="20"/>
                <w:szCs w:val="21"/>
              </w:rPr>
            </w:pPr>
          </w:p>
        </w:tc>
        <w:tc>
          <w:tcPr>
            <w:tcW w:w="1286" w:type="pct"/>
            <w:vAlign w:val="center"/>
          </w:tcPr>
          <w:p>
            <w:pPr>
              <w:widowControl w:val="0"/>
              <w:spacing w:line="276" w:lineRule="auto"/>
              <w:jc w:val="both"/>
              <w:rPr>
                <w:sz w:val="20"/>
                <w:szCs w:val="21"/>
              </w:rPr>
            </w:pPr>
            <w:r>
              <w:rPr>
                <w:sz w:val="20"/>
                <w:szCs w:val="21"/>
              </w:rPr>
              <w:t>12h</w:t>
            </w:r>
          </w:p>
        </w:tc>
        <w:tc>
          <w:tcPr>
            <w:tcW w:w="1659" w:type="pct"/>
            <w:gridSpan w:val="2"/>
            <w:vAlign w:val="center"/>
          </w:tcPr>
          <w:p>
            <w:pPr>
              <w:widowControl w:val="0"/>
              <w:spacing w:line="276" w:lineRule="auto"/>
              <w:jc w:val="both"/>
              <w:rPr>
                <w:sz w:val="20"/>
                <w:szCs w:val="21"/>
              </w:rPr>
            </w:pPr>
            <w:r>
              <w:rPr>
                <w:sz w:val="20"/>
                <w:szCs w:val="21"/>
              </w:rPr>
              <w:t>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2" w:type="pct"/>
            <w:vAlign w:val="center"/>
          </w:tcPr>
          <w:p>
            <w:pPr>
              <w:widowControl w:val="0"/>
              <w:spacing w:line="276" w:lineRule="auto"/>
              <w:jc w:val="both"/>
              <w:rPr>
                <w:sz w:val="20"/>
                <w:szCs w:val="21"/>
              </w:rPr>
            </w:pPr>
            <w:r>
              <w:rPr>
                <w:sz w:val="20"/>
                <w:szCs w:val="21"/>
              </w:rPr>
              <w:t>条件强度</w:t>
            </w:r>
          </w:p>
        </w:tc>
        <w:tc>
          <w:tcPr>
            <w:tcW w:w="1372" w:type="pct"/>
            <w:vAlign w:val="center"/>
          </w:tcPr>
          <w:p>
            <w:pPr>
              <w:widowControl w:val="0"/>
              <w:spacing w:line="276" w:lineRule="auto"/>
              <w:jc w:val="both"/>
              <w:rPr>
                <w:sz w:val="20"/>
                <w:szCs w:val="21"/>
              </w:rPr>
            </w:pPr>
            <w:r>
              <w:rPr>
                <w:rFonts w:hint="eastAsia"/>
                <w:szCs w:val="21"/>
                <w:lang w:bidi="ar"/>
              </w:rPr>
              <w:t>随机振动</w:t>
            </w:r>
            <w:r>
              <w:rPr>
                <w:szCs w:val="21"/>
                <w:lang w:bidi="ar"/>
              </w:rPr>
              <w:t>RMS</w:t>
            </w:r>
            <w:r>
              <w:rPr>
                <w:rFonts w:hint="eastAsia"/>
                <w:szCs w:val="21"/>
                <w:lang w:bidi="ar"/>
              </w:rPr>
              <w:t>均小于</w:t>
            </w:r>
            <w:r>
              <w:rPr>
                <w:szCs w:val="21"/>
                <w:lang w:bidi="ar"/>
              </w:rPr>
              <w:t>1g</w:t>
            </w:r>
            <w:r>
              <w:rPr>
                <w:rFonts w:ascii="宋体" w:hAnsi="宋体" w:cs="宋体"/>
                <w:sz w:val="24"/>
              </w:rPr>
              <w:t xml:space="preserve"> </w:t>
            </w:r>
          </w:p>
        </w:tc>
        <w:tc>
          <w:tcPr>
            <w:tcW w:w="1286" w:type="pct"/>
            <w:vAlign w:val="center"/>
          </w:tcPr>
          <w:p>
            <w:pPr>
              <w:widowControl w:val="0"/>
              <w:spacing w:line="276" w:lineRule="auto"/>
              <w:jc w:val="both"/>
              <w:rPr>
                <w:sz w:val="20"/>
                <w:szCs w:val="21"/>
              </w:rPr>
            </w:pPr>
            <w:r>
              <w:rPr>
                <w:rFonts w:hint="eastAsia"/>
                <w:szCs w:val="21"/>
                <w:lang w:bidi="ar"/>
              </w:rPr>
              <w:t>随机振动</w:t>
            </w:r>
            <w:r>
              <w:rPr>
                <w:szCs w:val="21"/>
                <w:lang w:bidi="ar"/>
              </w:rPr>
              <w:t>RMS</w:t>
            </w:r>
            <w:r>
              <w:rPr>
                <w:rFonts w:hint="eastAsia"/>
                <w:szCs w:val="21"/>
                <w:lang w:bidi="ar"/>
              </w:rPr>
              <w:t>均小于</w:t>
            </w:r>
            <w:r>
              <w:rPr>
                <w:szCs w:val="21"/>
                <w:lang w:bidi="ar"/>
              </w:rPr>
              <w:t>1g</w:t>
            </w:r>
            <w:r>
              <w:rPr>
                <w:rFonts w:ascii="宋体" w:hAnsi="宋体" w:cs="宋体"/>
                <w:sz w:val="24"/>
              </w:rPr>
              <w:t xml:space="preserve"> </w:t>
            </w:r>
          </w:p>
        </w:tc>
        <w:tc>
          <w:tcPr>
            <w:tcW w:w="1659" w:type="pct"/>
            <w:gridSpan w:val="2"/>
            <w:vAlign w:val="center"/>
          </w:tcPr>
          <w:p>
            <w:pPr>
              <w:widowControl w:val="0"/>
              <w:spacing w:line="276" w:lineRule="auto"/>
              <w:jc w:val="both"/>
              <w:rPr>
                <w:sz w:val="20"/>
                <w:szCs w:val="21"/>
              </w:rPr>
            </w:pPr>
            <w:r>
              <w:rPr>
                <w:sz w:val="20"/>
                <w:szCs w:val="21"/>
              </w:rPr>
              <w:t>加速度最大1g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682" w:type="pct"/>
            <w:vAlign w:val="center"/>
          </w:tcPr>
          <w:p>
            <w:pPr>
              <w:widowControl w:val="0"/>
              <w:spacing w:line="276" w:lineRule="auto"/>
              <w:jc w:val="both"/>
              <w:rPr>
                <w:sz w:val="20"/>
                <w:szCs w:val="21"/>
              </w:rPr>
            </w:pPr>
            <w:r>
              <w:rPr>
                <w:sz w:val="20"/>
                <w:szCs w:val="21"/>
              </w:rPr>
              <w:t>测试频率</w:t>
            </w:r>
          </w:p>
        </w:tc>
        <w:tc>
          <w:tcPr>
            <w:tcW w:w="1372" w:type="pct"/>
            <w:vAlign w:val="center"/>
          </w:tcPr>
          <w:p>
            <w:pPr>
              <w:widowControl w:val="0"/>
              <w:spacing w:line="276" w:lineRule="auto"/>
              <w:jc w:val="both"/>
              <w:rPr>
                <w:sz w:val="20"/>
                <w:szCs w:val="21"/>
              </w:rPr>
            </w:pPr>
            <w:r>
              <w:rPr>
                <w:sz w:val="20"/>
                <w:szCs w:val="21"/>
              </w:rPr>
              <w:t>最高200Hz</w:t>
            </w:r>
          </w:p>
        </w:tc>
        <w:tc>
          <w:tcPr>
            <w:tcW w:w="1286" w:type="pct"/>
            <w:vAlign w:val="center"/>
          </w:tcPr>
          <w:p>
            <w:pPr>
              <w:widowControl w:val="0"/>
              <w:spacing w:line="276" w:lineRule="auto"/>
              <w:jc w:val="both"/>
              <w:rPr>
                <w:sz w:val="20"/>
                <w:szCs w:val="21"/>
              </w:rPr>
            </w:pPr>
            <w:r>
              <w:rPr>
                <w:sz w:val="20"/>
                <w:szCs w:val="21"/>
              </w:rPr>
              <w:t>最高200Hz</w:t>
            </w:r>
          </w:p>
        </w:tc>
        <w:tc>
          <w:tcPr>
            <w:tcW w:w="1659" w:type="pct"/>
            <w:gridSpan w:val="2"/>
            <w:vAlign w:val="center"/>
          </w:tcPr>
          <w:p>
            <w:pPr>
              <w:widowControl w:val="0"/>
              <w:spacing w:line="276" w:lineRule="auto"/>
              <w:jc w:val="both"/>
              <w:rPr>
                <w:sz w:val="20"/>
                <w:szCs w:val="21"/>
              </w:rPr>
            </w:pPr>
            <w:r>
              <w:rPr>
                <w:sz w:val="20"/>
                <w:szCs w:val="21"/>
              </w:rPr>
              <w:t>最高50Hz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2" w:type="pct"/>
            <w:vAlign w:val="center"/>
          </w:tcPr>
          <w:p>
            <w:pPr>
              <w:widowControl w:val="0"/>
              <w:spacing w:line="276" w:lineRule="auto"/>
              <w:jc w:val="both"/>
              <w:rPr>
                <w:sz w:val="20"/>
                <w:szCs w:val="21"/>
              </w:rPr>
            </w:pPr>
            <w:r>
              <w:rPr>
                <w:sz w:val="20"/>
                <w:szCs w:val="21"/>
              </w:rPr>
              <w:t>定频</w:t>
            </w:r>
          </w:p>
        </w:tc>
        <w:tc>
          <w:tcPr>
            <w:tcW w:w="1372" w:type="pct"/>
            <w:vAlign w:val="center"/>
          </w:tcPr>
          <w:p>
            <w:pPr>
              <w:widowControl w:val="0"/>
              <w:spacing w:line="276" w:lineRule="auto"/>
              <w:jc w:val="both"/>
              <w:rPr>
                <w:sz w:val="20"/>
                <w:szCs w:val="21"/>
              </w:rPr>
            </w:pPr>
            <w:r>
              <w:rPr>
                <w:sz w:val="20"/>
                <w:szCs w:val="21"/>
              </w:rPr>
              <w:t>有</w:t>
            </w:r>
          </w:p>
        </w:tc>
        <w:tc>
          <w:tcPr>
            <w:tcW w:w="1286" w:type="pct"/>
            <w:vAlign w:val="center"/>
          </w:tcPr>
          <w:p>
            <w:pPr>
              <w:widowControl w:val="0"/>
              <w:spacing w:line="276" w:lineRule="auto"/>
              <w:jc w:val="both"/>
              <w:rPr>
                <w:sz w:val="20"/>
                <w:szCs w:val="21"/>
              </w:rPr>
            </w:pPr>
            <w:r>
              <w:rPr>
                <w:sz w:val="20"/>
                <w:szCs w:val="21"/>
              </w:rPr>
              <w:t>有</w:t>
            </w:r>
          </w:p>
        </w:tc>
        <w:tc>
          <w:tcPr>
            <w:tcW w:w="1659" w:type="pct"/>
            <w:gridSpan w:val="2"/>
            <w:vAlign w:val="center"/>
          </w:tcPr>
          <w:p>
            <w:pPr>
              <w:widowControl w:val="0"/>
              <w:spacing w:line="276" w:lineRule="auto"/>
              <w:jc w:val="both"/>
              <w:rPr>
                <w:sz w:val="20"/>
                <w:szCs w:val="21"/>
              </w:rPr>
            </w:pPr>
            <w:r>
              <w:rPr>
                <w:sz w:val="2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2" w:type="pct"/>
            <w:vAlign w:val="center"/>
          </w:tcPr>
          <w:p>
            <w:pPr>
              <w:widowControl w:val="0"/>
              <w:spacing w:line="276" w:lineRule="auto"/>
              <w:jc w:val="both"/>
              <w:rPr>
                <w:sz w:val="20"/>
                <w:szCs w:val="21"/>
              </w:rPr>
            </w:pPr>
            <w:r>
              <w:rPr>
                <w:sz w:val="20"/>
                <w:szCs w:val="21"/>
              </w:rPr>
              <w:t>其它要求</w:t>
            </w:r>
          </w:p>
        </w:tc>
        <w:tc>
          <w:tcPr>
            <w:tcW w:w="1372" w:type="pct"/>
            <w:vAlign w:val="center"/>
          </w:tcPr>
          <w:p>
            <w:pPr>
              <w:widowControl w:val="0"/>
              <w:spacing w:line="276" w:lineRule="auto"/>
              <w:jc w:val="both"/>
              <w:rPr>
                <w:sz w:val="20"/>
                <w:szCs w:val="21"/>
              </w:rPr>
            </w:pPr>
            <w:r>
              <w:rPr>
                <w:sz w:val="20"/>
                <w:szCs w:val="21"/>
              </w:rPr>
              <w:t>浸水或者IPX7二选一</w:t>
            </w:r>
          </w:p>
        </w:tc>
        <w:tc>
          <w:tcPr>
            <w:tcW w:w="1286" w:type="pct"/>
            <w:vAlign w:val="center"/>
          </w:tcPr>
          <w:p>
            <w:pPr>
              <w:widowControl w:val="0"/>
              <w:spacing w:line="276" w:lineRule="auto"/>
              <w:jc w:val="both"/>
              <w:rPr>
                <w:sz w:val="20"/>
                <w:szCs w:val="21"/>
              </w:rPr>
            </w:pPr>
            <w:r>
              <w:rPr>
                <w:sz w:val="20"/>
                <w:szCs w:val="21"/>
              </w:rPr>
              <w:t>无</w:t>
            </w:r>
          </w:p>
        </w:tc>
        <w:tc>
          <w:tcPr>
            <w:tcW w:w="1659" w:type="pct"/>
            <w:gridSpan w:val="2"/>
            <w:vAlign w:val="center"/>
          </w:tcPr>
          <w:p>
            <w:pPr>
              <w:widowControl w:val="0"/>
              <w:spacing w:line="276" w:lineRule="auto"/>
              <w:jc w:val="both"/>
              <w:rPr>
                <w:sz w:val="20"/>
                <w:szCs w:val="21"/>
              </w:rPr>
            </w:pPr>
            <w:r>
              <w:rPr>
                <w:sz w:val="2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jc w:val="center"/>
        </w:trPr>
        <w:tc>
          <w:tcPr>
            <w:tcW w:w="682" w:type="pct"/>
            <w:vAlign w:val="center"/>
          </w:tcPr>
          <w:p>
            <w:pPr>
              <w:widowControl w:val="0"/>
              <w:spacing w:line="276" w:lineRule="auto"/>
              <w:jc w:val="both"/>
              <w:rPr>
                <w:sz w:val="20"/>
                <w:szCs w:val="21"/>
              </w:rPr>
            </w:pPr>
            <w:r>
              <w:rPr>
                <w:sz w:val="20"/>
                <w:szCs w:val="21"/>
              </w:rPr>
              <w:t>判定条件</w:t>
            </w:r>
          </w:p>
        </w:tc>
        <w:tc>
          <w:tcPr>
            <w:tcW w:w="1372" w:type="pct"/>
            <w:vAlign w:val="center"/>
          </w:tcPr>
          <w:p>
            <w:pPr>
              <w:widowControl w:val="0"/>
              <w:spacing w:line="276" w:lineRule="auto"/>
              <w:jc w:val="both"/>
              <w:rPr>
                <w:sz w:val="20"/>
                <w:szCs w:val="21"/>
              </w:rPr>
            </w:pPr>
            <w:r>
              <w:rPr>
                <w:sz w:val="20"/>
                <w:szCs w:val="21"/>
              </w:rPr>
              <w:t>电池包或系统振动试验后应无泄漏、外壳破裂、起火或爆炸现象，且不触发异常终止条件，试验后的绝缘电阻应不小于100Ω/V</w:t>
            </w:r>
          </w:p>
        </w:tc>
        <w:tc>
          <w:tcPr>
            <w:tcW w:w="1286" w:type="pct"/>
            <w:vAlign w:val="center"/>
          </w:tcPr>
          <w:p>
            <w:pPr>
              <w:widowControl w:val="0"/>
              <w:spacing w:line="276" w:lineRule="auto"/>
              <w:jc w:val="both"/>
              <w:rPr>
                <w:sz w:val="20"/>
                <w:szCs w:val="21"/>
              </w:rPr>
            </w:pPr>
            <w:r>
              <w:rPr>
                <w:rFonts w:hint="eastAsia"/>
                <w:sz w:val="20"/>
                <w:szCs w:val="20"/>
                <w:lang w:bidi="ar"/>
              </w:rPr>
              <w:t>无泄漏、</w:t>
            </w:r>
            <w:r>
              <w:rPr>
                <w:sz w:val="20"/>
                <w:szCs w:val="20"/>
                <w:lang w:bidi="ar"/>
              </w:rPr>
              <w:t>外壳破裂、</w:t>
            </w:r>
            <w:r>
              <w:rPr>
                <w:rFonts w:hint="eastAsia"/>
                <w:sz w:val="20"/>
                <w:szCs w:val="20"/>
                <w:lang w:bidi="ar"/>
              </w:rPr>
              <w:t>起火</w:t>
            </w:r>
            <w:r>
              <w:rPr>
                <w:sz w:val="20"/>
                <w:szCs w:val="20"/>
                <w:lang w:bidi="ar"/>
              </w:rPr>
              <w:t>或</w:t>
            </w:r>
            <w:r>
              <w:rPr>
                <w:rFonts w:hint="eastAsia"/>
                <w:sz w:val="20"/>
                <w:szCs w:val="20"/>
                <w:lang w:bidi="ar"/>
              </w:rPr>
              <w:t>爆炸</w:t>
            </w:r>
            <w:r>
              <w:rPr>
                <w:sz w:val="20"/>
                <w:szCs w:val="20"/>
                <w:lang w:bidi="ar"/>
              </w:rPr>
              <w:t>现象</w:t>
            </w:r>
            <w:r>
              <w:rPr>
                <w:rFonts w:hint="eastAsia"/>
                <w:szCs w:val="21"/>
                <w:lang w:bidi="ar"/>
              </w:rPr>
              <w:t>，</w:t>
            </w:r>
            <w:r>
              <w:rPr>
                <w:szCs w:val="21"/>
                <w:lang w:bidi="ar"/>
              </w:rPr>
              <w:t>试验后</w:t>
            </w:r>
            <w:r>
              <w:rPr>
                <w:rFonts w:hint="eastAsia"/>
                <w:szCs w:val="21"/>
                <w:lang w:bidi="ar"/>
              </w:rPr>
              <w:t>绝缘电阻符合原文</w:t>
            </w:r>
            <w:r>
              <w:rPr>
                <w:szCs w:val="21"/>
                <w:lang w:bidi="ar"/>
              </w:rPr>
              <w:t>4.2</w:t>
            </w:r>
            <w:r>
              <w:rPr>
                <w:rFonts w:hint="eastAsia"/>
                <w:szCs w:val="21"/>
                <w:lang w:bidi="ar"/>
              </w:rPr>
              <w:t>节要求</w:t>
            </w:r>
            <w:r>
              <w:rPr>
                <w:rFonts w:ascii="宋体" w:hAnsi="宋体" w:cs="宋体"/>
                <w:sz w:val="24"/>
              </w:rPr>
              <w:t xml:space="preserve"> </w:t>
            </w:r>
          </w:p>
        </w:tc>
        <w:tc>
          <w:tcPr>
            <w:tcW w:w="1659" w:type="pct"/>
            <w:gridSpan w:val="2"/>
            <w:vAlign w:val="center"/>
          </w:tcPr>
          <w:p>
            <w:pPr>
              <w:widowControl w:val="0"/>
              <w:spacing w:line="276" w:lineRule="auto"/>
              <w:jc w:val="both"/>
              <w:rPr>
                <w:sz w:val="20"/>
                <w:szCs w:val="21"/>
              </w:rPr>
            </w:pPr>
            <w:r>
              <w:rPr>
                <w:rFonts w:hint="eastAsia"/>
                <w:szCs w:val="21"/>
                <w:lang w:bidi="ar"/>
              </w:rPr>
              <w:t>测试过程中无破裂（高压电池）、电解液泄漏、排气，起火或者爆炸。绝缘电阻不低于</w:t>
            </w:r>
            <w:r>
              <w:rPr>
                <w:szCs w:val="21"/>
                <w:lang w:bidi="ar"/>
              </w:rPr>
              <w:t>100Ω/V</w:t>
            </w:r>
            <w:r>
              <w:rPr>
                <w:rFonts w:ascii="宋体" w:hAnsi="宋体" w:cs="宋体"/>
                <w:sz w:val="24"/>
              </w:rPr>
              <w:t xml:space="preserve"> </w:t>
            </w:r>
          </w:p>
        </w:tc>
      </w:tr>
    </w:tbl>
    <w:p>
      <w:pPr>
        <w:spacing w:line="360" w:lineRule="auto"/>
        <w:ind w:firstLine="420"/>
        <w:jc w:val="both"/>
        <w:rPr>
          <w:rFonts w:ascii="宋体" w:hAnsi="宋体"/>
          <w:szCs w:val="21"/>
        </w:rPr>
      </w:pPr>
      <w:r>
        <w:rPr>
          <w:rFonts w:hint="eastAsia"/>
          <w:szCs w:val="21"/>
        </w:rPr>
        <w:t>ISO 6469-1:2019</w:t>
      </w:r>
      <w:r>
        <w:rPr>
          <w:rFonts w:ascii="宋体" w:hAnsi="宋体"/>
          <w:szCs w:val="21"/>
        </w:rPr>
        <w:t>与</w:t>
      </w:r>
      <w:r>
        <w:rPr>
          <w:szCs w:val="21"/>
        </w:rPr>
        <w:t>GB 38031</w:t>
      </w:r>
      <w:r>
        <w:rPr>
          <w:rFonts w:hint="eastAsia"/>
          <w:szCs w:val="21"/>
          <w:lang w:eastAsia="zh-CN"/>
        </w:rPr>
        <w:t>—</w:t>
      </w:r>
      <w:r>
        <w:rPr>
          <w:szCs w:val="21"/>
        </w:rPr>
        <w:t>2020</w:t>
      </w:r>
      <w:r>
        <w:rPr>
          <w:rFonts w:ascii="宋体" w:hAnsi="宋体"/>
          <w:szCs w:val="21"/>
        </w:rPr>
        <w:t>振动试验频率范围相同，但</w:t>
      </w:r>
      <w:r>
        <w:rPr>
          <w:szCs w:val="21"/>
        </w:rPr>
        <w:t>ISO 6469</w:t>
      </w:r>
      <w:r>
        <w:rPr>
          <w:rFonts w:ascii="宋体" w:hAnsi="宋体"/>
          <w:szCs w:val="21"/>
        </w:rPr>
        <w:t>振动条件较弱，对电动汽车用锂离子蓄电池包或系统来说测试严酷等级偏低；</w:t>
      </w:r>
      <w:r>
        <w:rPr>
          <w:szCs w:val="21"/>
        </w:rPr>
        <w:t>EVS-GTR</w:t>
      </w:r>
      <w:r>
        <w:rPr>
          <w:rFonts w:ascii="宋体" w:hAnsi="宋体"/>
          <w:szCs w:val="21"/>
        </w:rPr>
        <w:t>中的试验条件倾向于整包运输过程的工况，且</w:t>
      </w:r>
      <w:r>
        <w:rPr>
          <w:rFonts w:hint="eastAsia"/>
          <w:szCs w:val="21"/>
        </w:rPr>
        <w:t>G</w:t>
      </w:r>
      <w:r>
        <w:rPr>
          <w:szCs w:val="21"/>
        </w:rPr>
        <w:t>B 38031</w:t>
      </w:r>
      <w:r>
        <w:rPr>
          <w:rFonts w:ascii="宋体" w:hAnsi="宋体"/>
          <w:szCs w:val="21"/>
        </w:rPr>
        <w:t>中规定的振动测试条件中随机振动加定频测试，更符合电池包实际运输及使用环境；</w:t>
      </w:r>
      <w:r>
        <w:rPr>
          <w:szCs w:val="21"/>
        </w:rPr>
        <w:t>GB 38031</w:t>
      </w:r>
      <w:r>
        <w:rPr>
          <w:rFonts w:hint="eastAsia"/>
          <w:szCs w:val="21"/>
          <w:lang w:eastAsia="zh-CN"/>
        </w:rPr>
        <w:t>—</w:t>
      </w:r>
      <w:r>
        <w:rPr>
          <w:szCs w:val="21"/>
        </w:rPr>
        <w:t>2020</w:t>
      </w:r>
      <w:r>
        <w:rPr>
          <w:rFonts w:ascii="宋体" w:hAnsi="宋体"/>
          <w:szCs w:val="21"/>
        </w:rPr>
        <w:t>相比对标的几个标准，测试内容最全，严苛程度适中，现阶段比较符合新能源汽车准入标准。</w:t>
      </w:r>
      <w:r>
        <w:rPr>
          <w:rFonts w:hint="eastAsia" w:ascii="宋体" w:hAnsi="宋体"/>
          <w:szCs w:val="21"/>
        </w:rPr>
        <w:t>因此维持原标准内容不变。</w:t>
      </w:r>
    </w:p>
    <w:p>
      <w:pPr>
        <w:pStyle w:val="19"/>
        <w:numPr>
          <w:ilvl w:val="0"/>
          <w:numId w:val="9"/>
        </w:numPr>
        <w:spacing w:line="360" w:lineRule="auto"/>
        <w:ind w:left="0" w:firstLine="426"/>
        <w:rPr>
          <w:rFonts w:ascii="宋体" w:hAnsi="宋体"/>
          <w:szCs w:val="21"/>
        </w:rPr>
      </w:pPr>
      <w:r>
        <w:rPr>
          <w:rFonts w:hint="eastAsia" w:ascii="宋体" w:hAnsi="宋体"/>
          <w:szCs w:val="21"/>
        </w:rPr>
        <w:t>机械冲击：产品在使用、装卸、运输过程中都会受到冲击，冲击的量值变化很大并具有复杂的性质，因此冲击和碰撞可靠性测试适用于确定机械的薄弱环节，考核产品结构的完整性。测试方法对比情况如表</w:t>
      </w:r>
      <w:r>
        <w:rPr>
          <w:szCs w:val="21"/>
        </w:rPr>
        <w:t>20</w:t>
      </w:r>
      <w:r>
        <w:rPr>
          <w:rFonts w:hint="eastAsia" w:ascii="宋体" w:hAnsi="宋体"/>
          <w:szCs w:val="21"/>
        </w:rPr>
        <w:t>所示：</w:t>
      </w:r>
    </w:p>
    <w:p>
      <w:pPr>
        <w:spacing w:line="360" w:lineRule="auto"/>
        <w:ind w:firstLine="400"/>
        <w:jc w:val="center"/>
        <w:rPr>
          <w:sz w:val="20"/>
        </w:rPr>
      </w:pPr>
      <w:r>
        <w:rPr>
          <w:rFonts w:hint="eastAsia"/>
          <w:sz w:val="20"/>
        </w:rPr>
        <w:t>表</w:t>
      </w:r>
      <w:r>
        <w:rPr>
          <w:sz w:val="20"/>
        </w:rPr>
        <w:t>20</w:t>
      </w:r>
      <w:r>
        <w:rPr>
          <w:rFonts w:hint="eastAsia"/>
          <w:sz w:val="20"/>
        </w:rPr>
        <w:t>：电池包或系统机械冲击测试对比</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2865"/>
        <w:gridCol w:w="2783"/>
        <w:gridCol w:w="866"/>
        <w:gridCol w:w="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668" w:type="pct"/>
            <w:vAlign w:val="center"/>
          </w:tcPr>
          <w:p>
            <w:pPr>
              <w:spacing w:line="276" w:lineRule="auto"/>
              <w:jc w:val="center"/>
              <w:rPr>
                <w:sz w:val="20"/>
                <w:szCs w:val="20"/>
              </w:rPr>
            </w:pPr>
            <w:r>
              <w:rPr>
                <w:rFonts w:hint="eastAsia"/>
                <w:sz w:val="20"/>
                <w:szCs w:val="20"/>
              </w:rPr>
              <w:t>标准</w:t>
            </w:r>
          </w:p>
        </w:tc>
        <w:tc>
          <w:tcPr>
            <w:tcW w:w="1681" w:type="pct"/>
            <w:vAlign w:val="center"/>
          </w:tcPr>
          <w:p>
            <w:pPr>
              <w:spacing w:line="276" w:lineRule="auto"/>
              <w:jc w:val="center"/>
              <w:rPr>
                <w:sz w:val="20"/>
                <w:szCs w:val="20"/>
              </w:rPr>
            </w:pPr>
            <w:r>
              <w:rPr>
                <w:szCs w:val="21"/>
              </w:rPr>
              <w:t>GB 38031</w:t>
            </w:r>
            <w:r>
              <w:rPr>
                <w:rFonts w:hint="eastAsia"/>
                <w:szCs w:val="21"/>
                <w:lang w:eastAsia="zh-CN"/>
              </w:rPr>
              <w:t>—</w:t>
            </w:r>
            <w:r>
              <w:rPr>
                <w:szCs w:val="21"/>
              </w:rPr>
              <w:t>2020</w:t>
            </w:r>
          </w:p>
        </w:tc>
        <w:tc>
          <w:tcPr>
            <w:tcW w:w="1633" w:type="pct"/>
            <w:vAlign w:val="center"/>
          </w:tcPr>
          <w:p>
            <w:pPr>
              <w:spacing w:line="276" w:lineRule="auto"/>
              <w:jc w:val="center"/>
              <w:rPr>
                <w:sz w:val="20"/>
                <w:szCs w:val="20"/>
              </w:rPr>
            </w:pPr>
            <w:r>
              <w:rPr>
                <w:sz w:val="20"/>
                <w:szCs w:val="20"/>
              </w:rPr>
              <w:t>ISO 6469-1:2019</w:t>
            </w:r>
          </w:p>
        </w:tc>
        <w:tc>
          <w:tcPr>
            <w:tcW w:w="508" w:type="pct"/>
            <w:vAlign w:val="center"/>
          </w:tcPr>
          <w:p>
            <w:pPr>
              <w:spacing w:line="276" w:lineRule="auto"/>
              <w:jc w:val="center"/>
              <w:rPr>
                <w:sz w:val="20"/>
                <w:szCs w:val="20"/>
              </w:rPr>
            </w:pPr>
            <w:r>
              <w:rPr>
                <w:sz w:val="20"/>
                <w:szCs w:val="20"/>
              </w:rPr>
              <w:t>EVS</w:t>
            </w:r>
            <w:r>
              <w:rPr>
                <w:rFonts w:hint="eastAsia"/>
                <w:sz w:val="20"/>
                <w:szCs w:val="20"/>
              </w:rPr>
              <w:t>-</w:t>
            </w:r>
            <w:r>
              <w:rPr>
                <w:sz w:val="20"/>
                <w:szCs w:val="20"/>
              </w:rPr>
              <w:t xml:space="preserve"> GTR</w:t>
            </w:r>
          </w:p>
        </w:tc>
        <w:tc>
          <w:tcPr>
            <w:tcW w:w="508" w:type="pct"/>
            <w:vAlign w:val="center"/>
          </w:tcPr>
          <w:p>
            <w:pPr>
              <w:spacing w:line="276" w:lineRule="auto"/>
              <w:jc w:val="center"/>
              <w:rPr>
                <w:sz w:val="20"/>
                <w:szCs w:val="20"/>
              </w:rPr>
            </w:pPr>
            <w:r>
              <w:rPr>
                <w:sz w:val="20"/>
                <w:szCs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668" w:type="pct"/>
            <w:vAlign w:val="center"/>
          </w:tcPr>
          <w:p>
            <w:pPr>
              <w:widowControl w:val="0"/>
              <w:spacing w:line="276" w:lineRule="auto"/>
              <w:jc w:val="center"/>
              <w:rPr>
                <w:sz w:val="20"/>
                <w:szCs w:val="20"/>
              </w:rPr>
            </w:pPr>
            <w:r>
              <w:rPr>
                <w:sz w:val="20"/>
                <w:szCs w:val="20"/>
              </w:rPr>
              <w:t>初始SOC</w:t>
            </w:r>
          </w:p>
        </w:tc>
        <w:tc>
          <w:tcPr>
            <w:tcW w:w="1681" w:type="pct"/>
            <w:vAlign w:val="center"/>
          </w:tcPr>
          <w:p>
            <w:pPr>
              <w:widowControl w:val="0"/>
              <w:spacing w:line="276" w:lineRule="auto"/>
              <w:rPr>
                <w:sz w:val="20"/>
                <w:szCs w:val="20"/>
              </w:rPr>
            </w:pPr>
            <w:r>
              <w:rPr>
                <w:rFonts w:hint="eastAsia"/>
                <w:sz w:val="20"/>
                <w:szCs w:val="20"/>
              </w:rPr>
              <w:t>完全充电状态</w:t>
            </w:r>
          </w:p>
        </w:tc>
        <w:tc>
          <w:tcPr>
            <w:tcW w:w="1633" w:type="pct"/>
            <w:vAlign w:val="center"/>
          </w:tcPr>
          <w:p>
            <w:pPr>
              <w:widowControl w:val="0"/>
              <w:spacing w:line="276" w:lineRule="auto"/>
              <w:rPr>
                <w:sz w:val="20"/>
                <w:szCs w:val="20"/>
              </w:rPr>
            </w:pPr>
            <w:r>
              <w:rPr>
                <w:rFonts w:hint="eastAsia"/>
                <w:sz w:val="20"/>
                <w:szCs w:val="20"/>
              </w:rPr>
              <w:t>最高使用SOC</w:t>
            </w:r>
          </w:p>
        </w:tc>
        <w:tc>
          <w:tcPr>
            <w:tcW w:w="1016" w:type="pct"/>
            <w:gridSpan w:val="2"/>
            <w:vMerge w:val="restart"/>
            <w:vAlign w:val="center"/>
          </w:tcPr>
          <w:p>
            <w:pPr>
              <w:widowControl w:val="0"/>
              <w:spacing w:line="276" w:lineRule="auto"/>
              <w:rPr>
                <w:sz w:val="20"/>
                <w:szCs w:val="20"/>
              </w:rPr>
            </w:pPr>
            <w:r>
              <w:rPr>
                <w:sz w:val="20"/>
                <w:szCs w:val="20"/>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668" w:type="pct"/>
            <w:vAlign w:val="center"/>
          </w:tcPr>
          <w:p>
            <w:pPr>
              <w:widowControl w:val="0"/>
              <w:spacing w:line="276" w:lineRule="auto"/>
              <w:jc w:val="center"/>
              <w:rPr>
                <w:sz w:val="20"/>
                <w:szCs w:val="20"/>
              </w:rPr>
            </w:pPr>
            <w:r>
              <w:rPr>
                <w:sz w:val="20"/>
                <w:szCs w:val="20"/>
              </w:rPr>
              <w:t>测试方向</w:t>
            </w:r>
          </w:p>
        </w:tc>
        <w:tc>
          <w:tcPr>
            <w:tcW w:w="1681" w:type="pct"/>
            <w:vAlign w:val="center"/>
          </w:tcPr>
          <w:p>
            <w:pPr>
              <w:widowControl w:val="0"/>
              <w:spacing w:line="276" w:lineRule="auto"/>
              <w:rPr>
                <w:sz w:val="20"/>
                <w:szCs w:val="20"/>
              </w:rPr>
            </w:pPr>
            <w:r>
              <w:rPr>
                <w:sz w:val="20"/>
                <w:szCs w:val="20"/>
              </w:rPr>
              <w:t>±Z</w:t>
            </w:r>
          </w:p>
        </w:tc>
        <w:tc>
          <w:tcPr>
            <w:tcW w:w="1633" w:type="pct"/>
            <w:vAlign w:val="center"/>
          </w:tcPr>
          <w:p>
            <w:pPr>
              <w:widowControl w:val="0"/>
              <w:spacing w:line="276" w:lineRule="auto"/>
              <w:rPr>
                <w:sz w:val="20"/>
                <w:szCs w:val="20"/>
              </w:rPr>
            </w:pPr>
            <w:r>
              <w:rPr>
                <w:sz w:val="20"/>
                <w:szCs w:val="20"/>
              </w:rPr>
              <w:t>±Z、±Y、±X</w:t>
            </w:r>
          </w:p>
        </w:tc>
        <w:tc>
          <w:tcPr>
            <w:tcW w:w="1016" w:type="pct"/>
            <w:gridSpan w:val="2"/>
            <w:vMerge w:val="continue"/>
            <w:vAlign w:val="center"/>
          </w:tcPr>
          <w:p>
            <w:pPr>
              <w:spacing w:line="276" w:lineRule="auto"/>
              <w:ind w:firstLine="360"/>
              <w:rPr>
                <w:rStyle w:val="20"/>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68" w:type="pct"/>
            <w:vAlign w:val="center"/>
          </w:tcPr>
          <w:p>
            <w:pPr>
              <w:widowControl w:val="0"/>
              <w:spacing w:line="276" w:lineRule="auto"/>
              <w:jc w:val="center"/>
              <w:rPr>
                <w:sz w:val="20"/>
                <w:szCs w:val="20"/>
              </w:rPr>
            </w:pPr>
            <w:r>
              <w:rPr>
                <w:sz w:val="20"/>
                <w:szCs w:val="20"/>
              </w:rPr>
              <w:t>冲击波形</w:t>
            </w:r>
          </w:p>
        </w:tc>
        <w:tc>
          <w:tcPr>
            <w:tcW w:w="1681" w:type="pct"/>
            <w:vAlign w:val="center"/>
          </w:tcPr>
          <w:p>
            <w:pPr>
              <w:widowControl w:val="0"/>
              <w:spacing w:line="276" w:lineRule="auto"/>
              <w:jc w:val="both"/>
              <w:rPr>
                <w:sz w:val="20"/>
                <w:szCs w:val="20"/>
              </w:rPr>
            </w:pPr>
            <w:r>
              <w:rPr>
                <w:sz w:val="20"/>
                <w:szCs w:val="20"/>
              </w:rPr>
              <w:t>半正弦波</w:t>
            </w:r>
          </w:p>
        </w:tc>
        <w:tc>
          <w:tcPr>
            <w:tcW w:w="1633" w:type="pct"/>
            <w:vAlign w:val="center"/>
          </w:tcPr>
          <w:p>
            <w:pPr>
              <w:widowControl w:val="0"/>
              <w:spacing w:line="276" w:lineRule="auto"/>
              <w:jc w:val="both"/>
              <w:rPr>
                <w:sz w:val="20"/>
                <w:szCs w:val="20"/>
              </w:rPr>
            </w:pPr>
            <w:r>
              <w:rPr>
                <w:sz w:val="20"/>
                <w:szCs w:val="20"/>
              </w:rPr>
              <w:t>半正弦波</w:t>
            </w:r>
          </w:p>
        </w:tc>
        <w:tc>
          <w:tcPr>
            <w:tcW w:w="1016" w:type="pct"/>
            <w:gridSpan w:val="2"/>
            <w:vMerge w:val="continue"/>
            <w:vAlign w:val="center"/>
          </w:tcPr>
          <w:p>
            <w:pPr>
              <w:spacing w:line="276" w:lineRule="auto"/>
              <w:ind w:firstLine="360"/>
              <w:rPr>
                <w:rStyle w:val="20"/>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68" w:type="pct"/>
            <w:vAlign w:val="center"/>
          </w:tcPr>
          <w:p>
            <w:pPr>
              <w:widowControl w:val="0"/>
              <w:spacing w:line="276" w:lineRule="auto"/>
              <w:jc w:val="center"/>
              <w:rPr>
                <w:sz w:val="20"/>
                <w:szCs w:val="20"/>
              </w:rPr>
            </w:pPr>
            <w:r>
              <w:rPr>
                <w:sz w:val="20"/>
                <w:szCs w:val="20"/>
              </w:rPr>
              <w:t>条件强度</w:t>
            </w:r>
          </w:p>
        </w:tc>
        <w:tc>
          <w:tcPr>
            <w:tcW w:w="1681" w:type="pct"/>
            <w:vAlign w:val="center"/>
          </w:tcPr>
          <w:p>
            <w:pPr>
              <w:widowControl w:val="0"/>
              <w:spacing w:line="276" w:lineRule="auto"/>
              <w:jc w:val="both"/>
              <w:rPr>
                <w:sz w:val="20"/>
                <w:szCs w:val="20"/>
              </w:rPr>
            </w:pPr>
            <w:r>
              <w:rPr>
                <w:sz w:val="20"/>
                <w:szCs w:val="20"/>
              </w:rPr>
              <w:t>7g，6ms，±Z各6次</w:t>
            </w:r>
          </w:p>
        </w:tc>
        <w:tc>
          <w:tcPr>
            <w:tcW w:w="1633" w:type="pct"/>
            <w:vAlign w:val="center"/>
          </w:tcPr>
          <w:p>
            <w:pPr>
              <w:widowControl w:val="0"/>
              <w:spacing w:line="276" w:lineRule="auto"/>
              <w:jc w:val="both"/>
              <w:rPr>
                <w:sz w:val="20"/>
                <w:szCs w:val="20"/>
              </w:rPr>
            </w:pPr>
            <w:r>
              <w:rPr>
                <w:sz w:val="20"/>
                <w:szCs w:val="20"/>
              </w:rPr>
              <w:t>±Z：7g 6ms</w:t>
            </w:r>
          </w:p>
          <w:p>
            <w:pPr>
              <w:widowControl w:val="0"/>
              <w:spacing w:line="276" w:lineRule="auto"/>
              <w:jc w:val="both"/>
              <w:rPr>
                <w:sz w:val="20"/>
                <w:szCs w:val="20"/>
              </w:rPr>
            </w:pPr>
            <w:r>
              <w:rPr>
                <w:sz w:val="20"/>
                <w:szCs w:val="20"/>
              </w:rPr>
              <w:t>±X：5g 6ms</w:t>
            </w:r>
          </w:p>
          <w:p>
            <w:pPr>
              <w:widowControl w:val="0"/>
              <w:spacing w:line="276" w:lineRule="auto"/>
              <w:jc w:val="both"/>
              <w:rPr>
                <w:sz w:val="20"/>
                <w:szCs w:val="20"/>
              </w:rPr>
            </w:pPr>
            <w:r>
              <w:rPr>
                <w:sz w:val="20"/>
                <w:szCs w:val="20"/>
              </w:rPr>
              <w:t>±Y：3g 6ms</w:t>
            </w:r>
          </w:p>
          <w:p>
            <w:pPr>
              <w:widowControl w:val="0"/>
              <w:spacing w:line="276" w:lineRule="auto"/>
              <w:jc w:val="both"/>
              <w:rPr>
                <w:sz w:val="20"/>
                <w:szCs w:val="20"/>
              </w:rPr>
            </w:pPr>
            <w:r>
              <w:rPr>
                <w:sz w:val="20"/>
                <w:szCs w:val="20"/>
              </w:rPr>
              <w:t>3</w:t>
            </w:r>
            <w:r>
              <w:rPr>
                <w:rFonts w:hint="eastAsia"/>
                <w:sz w:val="20"/>
                <w:szCs w:val="20"/>
              </w:rPr>
              <w:t>次/方向</w:t>
            </w:r>
          </w:p>
        </w:tc>
        <w:tc>
          <w:tcPr>
            <w:tcW w:w="1016" w:type="pct"/>
            <w:gridSpan w:val="2"/>
            <w:vMerge w:val="continue"/>
            <w:vAlign w:val="center"/>
          </w:tcPr>
          <w:p>
            <w:pPr>
              <w:spacing w:line="276" w:lineRule="auto"/>
              <w:ind w:firstLine="360"/>
              <w:rPr>
                <w:rStyle w:val="20"/>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68" w:type="pct"/>
            <w:vAlign w:val="center"/>
          </w:tcPr>
          <w:p>
            <w:pPr>
              <w:widowControl w:val="0"/>
              <w:spacing w:line="276" w:lineRule="auto"/>
              <w:jc w:val="center"/>
              <w:rPr>
                <w:sz w:val="20"/>
                <w:szCs w:val="20"/>
              </w:rPr>
            </w:pPr>
            <w:r>
              <w:rPr>
                <w:sz w:val="20"/>
                <w:szCs w:val="20"/>
              </w:rPr>
              <w:t>判定条件</w:t>
            </w:r>
          </w:p>
        </w:tc>
        <w:tc>
          <w:tcPr>
            <w:tcW w:w="1681" w:type="pct"/>
            <w:vAlign w:val="center"/>
          </w:tcPr>
          <w:p>
            <w:pPr>
              <w:widowControl w:val="0"/>
              <w:spacing w:line="276" w:lineRule="auto"/>
              <w:jc w:val="both"/>
              <w:rPr>
                <w:sz w:val="20"/>
                <w:szCs w:val="20"/>
              </w:rPr>
            </w:pPr>
            <w:r>
              <w:rPr>
                <w:sz w:val="20"/>
                <w:szCs w:val="20"/>
              </w:rPr>
              <w:t>电池包或系统机械冲击试验后应无泄漏、外壳破裂、起火或爆炸现象。试验后的绝缘电阻应不小于100Ω/V</w:t>
            </w:r>
          </w:p>
        </w:tc>
        <w:tc>
          <w:tcPr>
            <w:tcW w:w="1633" w:type="pct"/>
            <w:vAlign w:val="center"/>
          </w:tcPr>
          <w:p>
            <w:pPr>
              <w:widowControl w:val="0"/>
              <w:spacing w:line="276" w:lineRule="auto"/>
              <w:jc w:val="both"/>
              <w:rPr>
                <w:sz w:val="20"/>
                <w:szCs w:val="20"/>
              </w:rPr>
            </w:pPr>
            <w:r>
              <w:rPr>
                <w:sz w:val="20"/>
                <w:szCs w:val="20"/>
              </w:rPr>
              <w:t>无泄漏、外壳破裂、起火或爆炸现象。试验后的绝缘电阻符合原文4.2节要求</w:t>
            </w:r>
          </w:p>
        </w:tc>
        <w:tc>
          <w:tcPr>
            <w:tcW w:w="1016" w:type="pct"/>
            <w:gridSpan w:val="2"/>
            <w:vMerge w:val="continue"/>
            <w:vAlign w:val="center"/>
          </w:tcPr>
          <w:p>
            <w:pPr>
              <w:spacing w:line="276" w:lineRule="auto"/>
              <w:ind w:firstLine="360"/>
              <w:rPr>
                <w:rStyle w:val="20"/>
                <w:rFonts w:hint="default"/>
                <w:color w:val="auto"/>
              </w:rPr>
            </w:pPr>
          </w:p>
        </w:tc>
      </w:tr>
    </w:tbl>
    <w:p>
      <w:pPr>
        <w:spacing w:line="360" w:lineRule="auto"/>
        <w:ind w:firstLine="420"/>
        <w:rPr>
          <w:rFonts w:ascii="宋体" w:hAnsi="宋体"/>
          <w:szCs w:val="21"/>
        </w:rPr>
      </w:pPr>
      <w:r>
        <w:rPr>
          <w:szCs w:val="21"/>
        </w:rPr>
        <w:t>GB 38031</w:t>
      </w:r>
      <w:r>
        <w:rPr>
          <w:rFonts w:hint="eastAsia"/>
          <w:szCs w:val="21"/>
          <w:lang w:eastAsia="zh-CN"/>
        </w:rPr>
        <w:t>—</w:t>
      </w:r>
      <w:r>
        <w:rPr>
          <w:szCs w:val="21"/>
        </w:rPr>
        <w:t>2020</w:t>
      </w:r>
      <w:r>
        <w:rPr>
          <w:rFonts w:hint="eastAsia" w:ascii="宋体" w:hAnsi="宋体"/>
          <w:szCs w:val="21"/>
        </w:rPr>
        <w:t>相比</w:t>
      </w:r>
      <w:r>
        <w:rPr>
          <w:szCs w:val="21"/>
        </w:rPr>
        <w:t>ISO 6469-1</w:t>
      </w:r>
      <w:r>
        <w:rPr>
          <w:rFonts w:hint="eastAsia" w:ascii="宋体" w:hAnsi="宋体"/>
          <w:szCs w:val="21"/>
        </w:rPr>
        <w:t>，少了</w:t>
      </w:r>
      <w:r>
        <w:rPr>
          <w:rFonts w:hint="eastAsia"/>
          <w:szCs w:val="21"/>
        </w:rPr>
        <w:t>±X</w:t>
      </w:r>
      <w:r>
        <w:rPr>
          <w:rFonts w:hint="eastAsia" w:ascii="宋体" w:hAnsi="宋体"/>
          <w:szCs w:val="21"/>
        </w:rPr>
        <w:t>和</w:t>
      </w:r>
      <w:r>
        <w:rPr>
          <w:rFonts w:hint="eastAsia"/>
          <w:szCs w:val="21"/>
        </w:rPr>
        <w:t>±Y</w:t>
      </w:r>
      <w:r>
        <w:rPr>
          <w:rFonts w:hint="eastAsia" w:ascii="宋体" w:hAnsi="宋体"/>
          <w:szCs w:val="21"/>
        </w:rPr>
        <w:t>方向冲击，经评估</w:t>
      </w:r>
      <w:r>
        <w:rPr>
          <w:rFonts w:hint="eastAsia"/>
          <w:szCs w:val="21"/>
        </w:rPr>
        <w:t>±X</w:t>
      </w:r>
      <w:r>
        <w:rPr>
          <w:rFonts w:hint="eastAsia" w:ascii="宋体" w:hAnsi="宋体"/>
          <w:szCs w:val="21"/>
        </w:rPr>
        <w:t>和</w:t>
      </w:r>
      <w:r>
        <w:rPr>
          <w:rFonts w:hint="eastAsia"/>
          <w:szCs w:val="21"/>
        </w:rPr>
        <w:t>±Y</w:t>
      </w:r>
      <w:r>
        <w:rPr>
          <w:rFonts w:hint="eastAsia" w:ascii="宋体" w:hAnsi="宋体"/>
          <w:szCs w:val="21"/>
        </w:rPr>
        <w:t>方向冲击量级对产品影响极小，无需验证。</w:t>
      </w:r>
      <w:bookmarkStart w:id="51" w:name="_Hlk162717148"/>
      <w:r>
        <w:rPr>
          <w:rFonts w:hint="eastAsia" w:ascii="宋体" w:hAnsi="宋体"/>
          <w:szCs w:val="21"/>
        </w:rPr>
        <w:t>维持原标准内容不变。</w:t>
      </w:r>
      <w:bookmarkEnd w:id="51"/>
    </w:p>
    <w:p>
      <w:pPr>
        <w:pStyle w:val="19"/>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20" w:firstLineChars="200"/>
        <w:textAlignment w:val="auto"/>
        <w:rPr>
          <w:rFonts w:ascii="宋体" w:hAnsi="宋体"/>
          <w:szCs w:val="21"/>
        </w:rPr>
      </w:pPr>
      <w:r>
        <w:rPr>
          <w:rFonts w:hint="eastAsia" w:ascii="宋体" w:hAnsi="宋体"/>
          <w:szCs w:val="21"/>
        </w:rPr>
        <w:t>模拟碰撞：用于评估电池包或系统在车辆碰撞过程中可能发生的惯性载荷下的安全性能。测试方法对比情况如表</w:t>
      </w:r>
      <w:r>
        <w:rPr>
          <w:szCs w:val="21"/>
        </w:rPr>
        <w:t>21</w:t>
      </w:r>
      <w:r>
        <w:rPr>
          <w:rFonts w:hint="eastAsia" w:ascii="宋体" w:hAnsi="宋体"/>
          <w:szCs w:val="21"/>
        </w:rPr>
        <w:t>所示：</w:t>
      </w:r>
    </w:p>
    <w:p>
      <w:pPr>
        <w:spacing w:line="360" w:lineRule="auto"/>
        <w:ind w:firstLine="400"/>
        <w:jc w:val="center"/>
        <w:rPr>
          <w:sz w:val="20"/>
        </w:rPr>
      </w:pPr>
      <w:r>
        <w:rPr>
          <w:rFonts w:hint="eastAsia"/>
          <w:sz w:val="20"/>
        </w:rPr>
        <w:t>表</w:t>
      </w:r>
      <w:r>
        <w:rPr>
          <w:sz w:val="20"/>
        </w:rPr>
        <w:t>21</w:t>
      </w:r>
      <w:r>
        <w:rPr>
          <w:rFonts w:hint="eastAsia"/>
          <w:sz w:val="20"/>
        </w:rPr>
        <w:t>：电池包或系统模拟碰撞测试对比</w:t>
      </w:r>
    </w:p>
    <w:tbl>
      <w:tblPr>
        <w:tblStyle w:val="10"/>
        <w:tblW w:w="8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4"/>
        <w:gridCol w:w="1777"/>
        <w:gridCol w:w="1778"/>
        <w:gridCol w:w="1778"/>
        <w:gridCol w:w="1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204" w:type="dxa"/>
            <w:vAlign w:val="center"/>
          </w:tcPr>
          <w:p>
            <w:pPr>
              <w:jc w:val="center"/>
              <w:rPr>
                <w:sz w:val="20"/>
                <w:szCs w:val="20"/>
              </w:rPr>
            </w:pPr>
            <w:bookmarkStart w:id="52" w:name="_Hlk162717250"/>
            <w:r>
              <w:rPr>
                <w:rFonts w:hint="eastAsia"/>
                <w:sz w:val="20"/>
                <w:szCs w:val="20"/>
              </w:rPr>
              <w:t>标准</w:t>
            </w:r>
          </w:p>
        </w:tc>
        <w:tc>
          <w:tcPr>
            <w:tcW w:w="1777" w:type="dxa"/>
            <w:vAlign w:val="center"/>
          </w:tcPr>
          <w:p>
            <w:pPr>
              <w:jc w:val="center"/>
              <w:rPr>
                <w:sz w:val="20"/>
                <w:szCs w:val="20"/>
              </w:rPr>
            </w:pPr>
            <w:r>
              <w:rPr>
                <w:szCs w:val="21"/>
              </w:rPr>
              <w:t>GB 38031</w:t>
            </w:r>
            <w:r>
              <w:rPr>
                <w:rFonts w:hint="eastAsia"/>
                <w:szCs w:val="21"/>
                <w:lang w:eastAsia="zh-CN"/>
              </w:rPr>
              <w:t>—</w:t>
            </w:r>
            <w:r>
              <w:rPr>
                <w:szCs w:val="21"/>
              </w:rPr>
              <w:t>2020</w:t>
            </w:r>
          </w:p>
        </w:tc>
        <w:tc>
          <w:tcPr>
            <w:tcW w:w="1778" w:type="dxa"/>
            <w:vAlign w:val="center"/>
          </w:tcPr>
          <w:p>
            <w:pPr>
              <w:jc w:val="center"/>
              <w:rPr>
                <w:sz w:val="20"/>
                <w:szCs w:val="20"/>
              </w:rPr>
            </w:pPr>
            <w:r>
              <w:rPr>
                <w:sz w:val="20"/>
                <w:szCs w:val="20"/>
              </w:rPr>
              <w:t>ISO 6469-1:2019</w:t>
            </w:r>
          </w:p>
        </w:tc>
        <w:tc>
          <w:tcPr>
            <w:tcW w:w="1778" w:type="dxa"/>
            <w:vAlign w:val="center"/>
          </w:tcPr>
          <w:p>
            <w:pPr>
              <w:jc w:val="center"/>
              <w:rPr>
                <w:sz w:val="20"/>
                <w:szCs w:val="20"/>
              </w:rPr>
            </w:pPr>
            <w:r>
              <w:rPr>
                <w:sz w:val="20"/>
                <w:szCs w:val="20"/>
              </w:rPr>
              <w:t>EVS-GTR</w:t>
            </w:r>
          </w:p>
        </w:tc>
        <w:tc>
          <w:tcPr>
            <w:tcW w:w="1778" w:type="dxa"/>
            <w:vAlign w:val="center"/>
          </w:tcPr>
          <w:p>
            <w:pPr>
              <w:jc w:val="center"/>
              <w:rPr>
                <w:sz w:val="20"/>
                <w:szCs w:val="20"/>
              </w:rPr>
            </w:pPr>
            <w:r>
              <w:rPr>
                <w:sz w:val="20"/>
                <w:szCs w:val="20"/>
              </w:rPr>
              <w:t>UN R100</w:t>
            </w:r>
          </w:p>
        </w:tc>
      </w:tr>
      <w:bookmarkEnd w:id="5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04" w:type="dxa"/>
            <w:vAlign w:val="center"/>
          </w:tcPr>
          <w:p>
            <w:pPr>
              <w:widowControl w:val="0"/>
              <w:jc w:val="center"/>
              <w:rPr>
                <w:sz w:val="20"/>
                <w:szCs w:val="20"/>
              </w:rPr>
            </w:pPr>
            <w:r>
              <w:rPr>
                <w:sz w:val="20"/>
                <w:szCs w:val="20"/>
              </w:rPr>
              <w:t>SOC要求</w:t>
            </w:r>
          </w:p>
        </w:tc>
        <w:tc>
          <w:tcPr>
            <w:tcW w:w="1777" w:type="dxa"/>
            <w:vAlign w:val="center"/>
          </w:tcPr>
          <w:p>
            <w:pPr>
              <w:widowControl w:val="0"/>
              <w:rPr>
                <w:sz w:val="20"/>
                <w:szCs w:val="20"/>
              </w:rPr>
            </w:pPr>
            <w:r>
              <w:rPr>
                <w:rFonts w:hint="eastAsia"/>
                <w:sz w:val="20"/>
                <w:szCs w:val="20"/>
              </w:rPr>
              <w:t>完全充电状态</w:t>
            </w:r>
          </w:p>
        </w:tc>
        <w:tc>
          <w:tcPr>
            <w:tcW w:w="1778" w:type="dxa"/>
            <w:vAlign w:val="center"/>
          </w:tcPr>
          <w:p>
            <w:pPr>
              <w:widowControl w:val="0"/>
              <w:rPr>
                <w:sz w:val="20"/>
                <w:szCs w:val="20"/>
              </w:rPr>
            </w:pPr>
            <w:r>
              <w:rPr>
                <w:rFonts w:hint="eastAsia"/>
                <w:sz w:val="20"/>
                <w:szCs w:val="20"/>
              </w:rPr>
              <w:t>最高使用SOC</w:t>
            </w:r>
          </w:p>
        </w:tc>
        <w:tc>
          <w:tcPr>
            <w:tcW w:w="1778" w:type="dxa"/>
            <w:vAlign w:val="center"/>
          </w:tcPr>
          <w:p>
            <w:pPr>
              <w:widowControl w:val="0"/>
              <w:rPr>
                <w:sz w:val="20"/>
                <w:szCs w:val="20"/>
              </w:rPr>
            </w:pPr>
            <w:r>
              <w:rPr>
                <w:rFonts w:hint="eastAsia"/>
                <w:sz w:val="20"/>
                <w:szCs w:val="20"/>
              </w:rPr>
              <w:t>最高使用SOC</w:t>
            </w:r>
          </w:p>
        </w:tc>
        <w:tc>
          <w:tcPr>
            <w:tcW w:w="1778" w:type="dxa"/>
            <w:vAlign w:val="center"/>
          </w:tcPr>
          <w:p>
            <w:pPr>
              <w:widowControl w:val="0"/>
              <w:rPr>
                <w:sz w:val="20"/>
                <w:szCs w:val="20"/>
              </w:rPr>
            </w:pPr>
            <w:r>
              <w:rPr>
                <w:rFonts w:hint="eastAsia"/>
                <w:sz w:val="20"/>
                <w:szCs w:val="20"/>
              </w:rPr>
              <w:t>最高使用SOC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9" w:hRule="atLeast"/>
          <w:jc w:val="center"/>
        </w:trPr>
        <w:tc>
          <w:tcPr>
            <w:tcW w:w="1204" w:type="dxa"/>
            <w:vAlign w:val="center"/>
          </w:tcPr>
          <w:p>
            <w:pPr>
              <w:widowControl w:val="0"/>
              <w:jc w:val="center"/>
              <w:rPr>
                <w:sz w:val="20"/>
                <w:szCs w:val="20"/>
              </w:rPr>
            </w:pPr>
            <w:r>
              <w:rPr>
                <w:sz w:val="20"/>
                <w:szCs w:val="20"/>
              </w:rPr>
              <w:t>条件强度</w:t>
            </w:r>
          </w:p>
        </w:tc>
        <w:tc>
          <w:tcPr>
            <w:tcW w:w="1777" w:type="dxa"/>
            <w:vAlign w:val="center"/>
          </w:tcPr>
          <w:p>
            <w:pPr>
              <w:widowControl w:val="0"/>
              <w:jc w:val="both"/>
              <w:rPr>
                <w:sz w:val="20"/>
                <w:szCs w:val="20"/>
              </w:rPr>
            </w:pPr>
            <w:r>
              <w:rPr>
                <w:sz w:val="20"/>
                <w:szCs w:val="20"/>
              </w:rPr>
              <w:t>≤3.5t：</w:t>
            </w:r>
          </w:p>
          <w:p>
            <w:pPr>
              <w:widowControl w:val="0"/>
              <w:jc w:val="both"/>
              <w:rPr>
                <w:sz w:val="20"/>
                <w:szCs w:val="20"/>
              </w:rPr>
            </w:pPr>
            <w:r>
              <w:rPr>
                <w:sz w:val="20"/>
                <w:szCs w:val="20"/>
              </w:rPr>
              <w:t>X:20-28g</w:t>
            </w:r>
          </w:p>
          <w:p>
            <w:pPr>
              <w:widowControl w:val="0"/>
              <w:jc w:val="both"/>
              <w:rPr>
                <w:sz w:val="20"/>
                <w:szCs w:val="20"/>
              </w:rPr>
            </w:pPr>
            <w:r>
              <w:rPr>
                <w:sz w:val="20"/>
                <w:szCs w:val="20"/>
              </w:rPr>
              <w:t>Y:8-15g</w:t>
            </w:r>
          </w:p>
          <w:p>
            <w:pPr>
              <w:widowControl w:val="0"/>
              <w:jc w:val="both"/>
              <w:rPr>
                <w:sz w:val="20"/>
                <w:szCs w:val="20"/>
              </w:rPr>
            </w:pPr>
            <w:r>
              <w:rPr>
                <w:sz w:val="20"/>
                <w:szCs w:val="20"/>
              </w:rPr>
              <w:t>3.5t~7.5t：</w:t>
            </w:r>
          </w:p>
          <w:p>
            <w:pPr>
              <w:widowControl w:val="0"/>
              <w:jc w:val="both"/>
              <w:rPr>
                <w:sz w:val="20"/>
                <w:szCs w:val="20"/>
              </w:rPr>
            </w:pPr>
            <w:r>
              <w:rPr>
                <w:sz w:val="20"/>
                <w:szCs w:val="20"/>
              </w:rPr>
              <w:t>X:10-17g</w:t>
            </w:r>
          </w:p>
          <w:p>
            <w:pPr>
              <w:widowControl w:val="0"/>
              <w:jc w:val="both"/>
              <w:rPr>
                <w:sz w:val="20"/>
                <w:szCs w:val="20"/>
              </w:rPr>
            </w:pPr>
            <w:r>
              <w:rPr>
                <w:sz w:val="20"/>
                <w:szCs w:val="20"/>
              </w:rPr>
              <w:t>Y:5-10g</w:t>
            </w:r>
          </w:p>
          <w:p>
            <w:pPr>
              <w:widowControl w:val="0"/>
              <w:jc w:val="both"/>
              <w:rPr>
                <w:sz w:val="20"/>
                <w:szCs w:val="20"/>
              </w:rPr>
            </w:pPr>
            <w:r>
              <w:rPr>
                <w:sz w:val="20"/>
                <w:szCs w:val="20"/>
              </w:rPr>
              <w:t>≥7.5t：</w:t>
            </w:r>
          </w:p>
          <w:p>
            <w:pPr>
              <w:widowControl w:val="0"/>
              <w:jc w:val="both"/>
              <w:rPr>
                <w:sz w:val="20"/>
                <w:szCs w:val="20"/>
              </w:rPr>
            </w:pPr>
            <w:r>
              <w:rPr>
                <w:sz w:val="20"/>
                <w:szCs w:val="20"/>
              </w:rPr>
              <w:t>X:6.6-12g</w:t>
            </w:r>
          </w:p>
          <w:p>
            <w:pPr>
              <w:widowControl w:val="0"/>
              <w:jc w:val="both"/>
              <w:rPr>
                <w:sz w:val="20"/>
                <w:szCs w:val="20"/>
              </w:rPr>
            </w:pPr>
            <w:r>
              <w:rPr>
                <w:sz w:val="20"/>
                <w:szCs w:val="20"/>
              </w:rPr>
              <w:t>Y:5-10g</w:t>
            </w:r>
          </w:p>
          <w:p>
            <w:pPr>
              <w:widowControl w:val="0"/>
              <w:jc w:val="both"/>
              <w:rPr>
                <w:sz w:val="20"/>
                <w:szCs w:val="20"/>
              </w:rPr>
            </w:pPr>
            <w:r>
              <w:rPr>
                <w:sz w:val="20"/>
                <w:szCs w:val="20"/>
              </w:rPr>
              <w:t>脉宽：80-120ms</w:t>
            </w:r>
          </w:p>
        </w:tc>
        <w:tc>
          <w:tcPr>
            <w:tcW w:w="1778" w:type="dxa"/>
            <w:vAlign w:val="center"/>
          </w:tcPr>
          <w:p>
            <w:pPr>
              <w:widowControl w:val="0"/>
              <w:jc w:val="both"/>
              <w:rPr>
                <w:sz w:val="20"/>
                <w:szCs w:val="20"/>
              </w:rPr>
            </w:pPr>
            <w:r>
              <w:rPr>
                <w:sz w:val="20"/>
                <w:szCs w:val="20"/>
              </w:rPr>
              <w:t>≤3.5t：</w:t>
            </w:r>
          </w:p>
          <w:p>
            <w:pPr>
              <w:widowControl w:val="0"/>
              <w:jc w:val="both"/>
              <w:rPr>
                <w:sz w:val="20"/>
                <w:szCs w:val="20"/>
              </w:rPr>
            </w:pPr>
            <w:r>
              <w:rPr>
                <w:sz w:val="20"/>
                <w:szCs w:val="20"/>
              </w:rPr>
              <w:t>X:20-28g</w:t>
            </w:r>
          </w:p>
          <w:p>
            <w:pPr>
              <w:widowControl w:val="0"/>
              <w:jc w:val="both"/>
              <w:rPr>
                <w:sz w:val="20"/>
                <w:szCs w:val="20"/>
              </w:rPr>
            </w:pPr>
            <w:r>
              <w:rPr>
                <w:sz w:val="20"/>
                <w:szCs w:val="20"/>
              </w:rPr>
              <w:t>Y:8-15g</w:t>
            </w:r>
          </w:p>
          <w:p>
            <w:pPr>
              <w:widowControl w:val="0"/>
              <w:jc w:val="both"/>
              <w:rPr>
                <w:sz w:val="20"/>
                <w:szCs w:val="20"/>
              </w:rPr>
            </w:pPr>
            <w:r>
              <w:rPr>
                <w:sz w:val="20"/>
                <w:szCs w:val="20"/>
              </w:rPr>
              <w:t>中型卡车和中型客车：</w:t>
            </w:r>
          </w:p>
          <w:p>
            <w:pPr>
              <w:widowControl w:val="0"/>
              <w:jc w:val="both"/>
              <w:rPr>
                <w:sz w:val="20"/>
                <w:szCs w:val="20"/>
              </w:rPr>
            </w:pPr>
            <w:r>
              <w:rPr>
                <w:sz w:val="20"/>
                <w:szCs w:val="20"/>
              </w:rPr>
              <w:t>X:10-17g</w:t>
            </w:r>
          </w:p>
          <w:p>
            <w:pPr>
              <w:widowControl w:val="0"/>
              <w:jc w:val="both"/>
              <w:rPr>
                <w:sz w:val="20"/>
                <w:szCs w:val="20"/>
              </w:rPr>
            </w:pPr>
            <w:r>
              <w:rPr>
                <w:sz w:val="20"/>
                <w:szCs w:val="20"/>
              </w:rPr>
              <w:t>Y:5-10g</w:t>
            </w:r>
          </w:p>
          <w:p>
            <w:pPr>
              <w:widowControl w:val="0"/>
              <w:jc w:val="both"/>
              <w:rPr>
                <w:sz w:val="20"/>
                <w:szCs w:val="20"/>
              </w:rPr>
            </w:pPr>
            <w:r>
              <w:rPr>
                <w:sz w:val="20"/>
                <w:szCs w:val="20"/>
              </w:rPr>
              <w:t>重型卡车和客车：</w:t>
            </w:r>
          </w:p>
          <w:p>
            <w:pPr>
              <w:widowControl w:val="0"/>
              <w:jc w:val="both"/>
              <w:rPr>
                <w:sz w:val="20"/>
                <w:szCs w:val="20"/>
              </w:rPr>
            </w:pPr>
            <w:r>
              <w:rPr>
                <w:sz w:val="20"/>
                <w:szCs w:val="20"/>
              </w:rPr>
              <w:t>X:6.6-12g</w:t>
            </w:r>
          </w:p>
          <w:p>
            <w:pPr>
              <w:widowControl w:val="0"/>
              <w:jc w:val="both"/>
              <w:rPr>
                <w:sz w:val="20"/>
                <w:szCs w:val="20"/>
              </w:rPr>
            </w:pPr>
            <w:r>
              <w:rPr>
                <w:sz w:val="20"/>
                <w:szCs w:val="20"/>
              </w:rPr>
              <w:t>Y:5-10g</w:t>
            </w:r>
          </w:p>
          <w:p>
            <w:pPr>
              <w:widowControl w:val="0"/>
              <w:jc w:val="both"/>
              <w:rPr>
                <w:sz w:val="20"/>
                <w:szCs w:val="20"/>
              </w:rPr>
            </w:pPr>
            <w:r>
              <w:rPr>
                <w:sz w:val="20"/>
                <w:szCs w:val="20"/>
              </w:rPr>
              <w:t>脉宽：80-120ms</w:t>
            </w:r>
          </w:p>
        </w:tc>
        <w:tc>
          <w:tcPr>
            <w:tcW w:w="1778" w:type="dxa"/>
            <w:vAlign w:val="center"/>
          </w:tcPr>
          <w:p>
            <w:pPr>
              <w:widowControl w:val="0"/>
              <w:jc w:val="both"/>
              <w:rPr>
                <w:sz w:val="20"/>
                <w:szCs w:val="20"/>
              </w:rPr>
            </w:pPr>
            <w:r>
              <w:rPr>
                <w:sz w:val="20"/>
                <w:szCs w:val="20"/>
              </w:rPr>
              <w:t>≤3.5t：</w:t>
            </w:r>
          </w:p>
          <w:p>
            <w:pPr>
              <w:widowControl w:val="0"/>
              <w:jc w:val="both"/>
              <w:rPr>
                <w:sz w:val="20"/>
                <w:szCs w:val="20"/>
              </w:rPr>
            </w:pPr>
            <w:r>
              <w:rPr>
                <w:sz w:val="20"/>
                <w:szCs w:val="20"/>
              </w:rPr>
              <w:t>X:20-28g</w:t>
            </w:r>
          </w:p>
          <w:p>
            <w:pPr>
              <w:widowControl w:val="0"/>
              <w:jc w:val="both"/>
              <w:rPr>
                <w:sz w:val="20"/>
                <w:szCs w:val="20"/>
              </w:rPr>
            </w:pPr>
            <w:r>
              <w:rPr>
                <w:sz w:val="20"/>
                <w:szCs w:val="20"/>
              </w:rPr>
              <w:t>Y:8-15g</w:t>
            </w:r>
          </w:p>
          <w:p>
            <w:pPr>
              <w:widowControl w:val="0"/>
              <w:jc w:val="both"/>
              <w:rPr>
                <w:sz w:val="20"/>
                <w:szCs w:val="20"/>
              </w:rPr>
            </w:pPr>
            <w:r>
              <w:rPr>
                <w:sz w:val="20"/>
                <w:szCs w:val="20"/>
              </w:rPr>
              <w:t>＞3.5t：</w:t>
            </w:r>
          </w:p>
          <w:p>
            <w:pPr>
              <w:widowControl w:val="0"/>
              <w:jc w:val="both"/>
              <w:rPr>
                <w:sz w:val="20"/>
                <w:szCs w:val="20"/>
              </w:rPr>
            </w:pPr>
            <w:r>
              <w:rPr>
                <w:sz w:val="20"/>
                <w:szCs w:val="20"/>
              </w:rPr>
              <w:t>X:10-17g</w:t>
            </w:r>
          </w:p>
          <w:p>
            <w:pPr>
              <w:widowControl w:val="0"/>
              <w:jc w:val="both"/>
              <w:rPr>
                <w:sz w:val="20"/>
                <w:szCs w:val="20"/>
              </w:rPr>
            </w:pPr>
            <w:r>
              <w:rPr>
                <w:sz w:val="20"/>
                <w:szCs w:val="20"/>
              </w:rPr>
              <w:t>Y:5-10g</w:t>
            </w:r>
          </w:p>
        </w:tc>
        <w:tc>
          <w:tcPr>
            <w:tcW w:w="1778" w:type="dxa"/>
            <w:vAlign w:val="center"/>
          </w:tcPr>
          <w:p>
            <w:pPr>
              <w:widowControl w:val="0"/>
              <w:jc w:val="both"/>
              <w:rPr>
                <w:sz w:val="20"/>
                <w:szCs w:val="20"/>
              </w:rPr>
            </w:pPr>
            <w:r>
              <w:rPr>
                <w:sz w:val="20"/>
                <w:szCs w:val="20"/>
              </w:rPr>
              <w:t>≤3.5t：</w:t>
            </w:r>
          </w:p>
          <w:p>
            <w:pPr>
              <w:widowControl w:val="0"/>
              <w:jc w:val="both"/>
              <w:rPr>
                <w:sz w:val="20"/>
                <w:szCs w:val="20"/>
              </w:rPr>
            </w:pPr>
            <w:r>
              <w:rPr>
                <w:sz w:val="20"/>
                <w:szCs w:val="20"/>
              </w:rPr>
              <w:t>X:20-28g</w:t>
            </w:r>
          </w:p>
          <w:p>
            <w:pPr>
              <w:widowControl w:val="0"/>
              <w:jc w:val="both"/>
              <w:rPr>
                <w:sz w:val="20"/>
                <w:szCs w:val="20"/>
              </w:rPr>
            </w:pPr>
            <w:r>
              <w:rPr>
                <w:sz w:val="20"/>
                <w:szCs w:val="20"/>
              </w:rPr>
              <w:t>Y:8-15g</w:t>
            </w:r>
          </w:p>
          <w:p>
            <w:pPr>
              <w:widowControl w:val="0"/>
              <w:jc w:val="both"/>
              <w:rPr>
                <w:sz w:val="20"/>
                <w:szCs w:val="20"/>
              </w:rPr>
            </w:pPr>
            <w:r>
              <w:rPr>
                <w:sz w:val="20"/>
                <w:szCs w:val="20"/>
              </w:rPr>
              <w:t>中型卡车和中型客车：</w:t>
            </w:r>
          </w:p>
          <w:p>
            <w:pPr>
              <w:widowControl w:val="0"/>
              <w:jc w:val="both"/>
              <w:rPr>
                <w:sz w:val="20"/>
                <w:szCs w:val="20"/>
              </w:rPr>
            </w:pPr>
            <w:r>
              <w:rPr>
                <w:sz w:val="20"/>
                <w:szCs w:val="20"/>
              </w:rPr>
              <w:t>X:10-17g</w:t>
            </w:r>
          </w:p>
          <w:p>
            <w:pPr>
              <w:widowControl w:val="0"/>
              <w:jc w:val="both"/>
              <w:rPr>
                <w:sz w:val="20"/>
                <w:szCs w:val="20"/>
              </w:rPr>
            </w:pPr>
            <w:r>
              <w:rPr>
                <w:sz w:val="20"/>
                <w:szCs w:val="20"/>
              </w:rPr>
              <w:t>Y:5-10g</w:t>
            </w:r>
          </w:p>
          <w:p>
            <w:pPr>
              <w:widowControl w:val="0"/>
              <w:jc w:val="both"/>
              <w:rPr>
                <w:sz w:val="20"/>
                <w:szCs w:val="20"/>
              </w:rPr>
            </w:pPr>
            <w:r>
              <w:rPr>
                <w:sz w:val="20"/>
                <w:szCs w:val="20"/>
              </w:rPr>
              <w:t>重型卡车和客车：</w:t>
            </w:r>
          </w:p>
          <w:p>
            <w:pPr>
              <w:widowControl w:val="0"/>
              <w:jc w:val="both"/>
              <w:rPr>
                <w:sz w:val="20"/>
                <w:szCs w:val="20"/>
              </w:rPr>
            </w:pPr>
            <w:r>
              <w:rPr>
                <w:sz w:val="20"/>
                <w:szCs w:val="20"/>
              </w:rPr>
              <w:t>X:6.6-12g</w:t>
            </w:r>
          </w:p>
          <w:p>
            <w:pPr>
              <w:widowControl w:val="0"/>
              <w:jc w:val="both"/>
              <w:rPr>
                <w:sz w:val="20"/>
                <w:szCs w:val="20"/>
              </w:rPr>
            </w:pPr>
            <w:r>
              <w:rPr>
                <w:sz w:val="20"/>
                <w:szCs w:val="20"/>
              </w:rPr>
              <w:t>Y:5-10g</w:t>
            </w:r>
          </w:p>
          <w:p>
            <w:pPr>
              <w:widowControl w:val="0"/>
              <w:jc w:val="both"/>
              <w:rPr>
                <w:sz w:val="20"/>
                <w:szCs w:val="20"/>
              </w:rPr>
            </w:pPr>
            <w:r>
              <w:rPr>
                <w:sz w:val="20"/>
                <w:szCs w:val="20"/>
              </w:rPr>
              <w:t>脉宽：80-120ms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4" w:hRule="atLeast"/>
          <w:jc w:val="center"/>
        </w:trPr>
        <w:tc>
          <w:tcPr>
            <w:tcW w:w="1204" w:type="dxa"/>
            <w:vAlign w:val="center"/>
          </w:tcPr>
          <w:p>
            <w:pPr>
              <w:widowControl w:val="0"/>
              <w:jc w:val="center"/>
              <w:rPr>
                <w:sz w:val="20"/>
                <w:szCs w:val="20"/>
              </w:rPr>
            </w:pPr>
            <w:r>
              <w:rPr>
                <w:sz w:val="20"/>
                <w:szCs w:val="20"/>
              </w:rPr>
              <w:t>判定条件</w:t>
            </w:r>
          </w:p>
        </w:tc>
        <w:tc>
          <w:tcPr>
            <w:tcW w:w="1777" w:type="dxa"/>
            <w:vAlign w:val="center"/>
          </w:tcPr>
          <w:p>
            <w:pPr>
              <w:widowControl w:val="0"/>
              <w:jc w:val="both"/>
              <w:rPr>
                <w:sz w:val="20"/>
                <w:szCs w:val="20"/>
              </w:rPr>
            </w:pPr>
            <w:r>
              <w:rPr>
                <w:sz w:val="20"/>
                <w:szCs w:val="20"/>
              </w:rPr>
              <w:t>无泄漏、外壳破裂、起火或爆炸现象。试验后的绝缘电阻应不小于100Ω/V</w:t>
            </w:r>
          </w:p>
        </w:tc>
        <w:tc>
          <w:tcPr>
            <w:tcW w:w="1778" w:type="dxa"/>
            <w:vAlign w:val="center"/>
          </w:tcPr>
          <w:p>
            <w:pPr>
              <w:widowControl w:val="0"/>
              <w:jc w:val="both"/>
              <w:rPr>
                <w:sz w:val="20"/>
                <w:szCs w:val="20"/>
              </w:rPr>
            </w:pPr>
            <w:r>
              <w:rPr>
                <w:sz w:val="20"/>
                <w:szCs w:val="20"/>
              </w:rPr>
              <w:t>无泄漏、外壳破裂、起火或爆炸现象。试验后的绝缘电阻符合原文4.2节要求</w:t>
            </w:r>
          </w:p>
        </w:tc>
        <w:tc>
          <w:tcPr>
            <w:tcW w:w="1778" w:type="dxa"/>
            <w:vAlign w:val="center"/>
          </w:tcPr>
          <w:p>
            <w:pPr>
              <w:widowControl w:val="0"/>
              <w:jc w:val="both"/>
              <w:rPr>
                <w:sz w:val="20"/>
                <w:szCs w:val="20"/>
              </w:rPr>
            </w:pPr>
            <w:r>
              <w:rPr>
                <w:sz w:val="20"/>
                <w:szCs w:val="20"/>
              </w:rPr>
              <w:t>无泄漏、外壳破裂、起火或爆炸现象。试验后的绝缘电阻≥100Ω/V</w:t>
            </w:r>
          </w:p>
        </w:tc>
        <w:tc>
          <w:tcPr>
            <w:tcW w:w="1778" w:type="dxa"/>
            <w:vAlign w:val="center"/>
          </w:tcPr>
          <w:p>
            <w:pPr>
              <w:widowControl w:val="0"/>
              <w:jc w:val="both"/>
              <w:rPr>
                <w:sz w:val="20"/>
                <w:szCs w:val="20"/>
              </w:rPr>
            </w:pPr>
            <w:r>
              <w:rPr>
                <w:sz w:val="20"/>
                <w:szCs w:val="20"/>
              </w:rPr>
              <w:t>测试过程中无电解液泄漏、起火爆炸现象，连接可靠：系统应保持连接在工装范围内。绝缘电阻不低于100Ω/V或能达到IPXXB外壳防护等级</w:t>
            </w:r>
          </w:p>
        </w:tc>
      </w:tr>
    </w:tbl>
    <w:p>
      <w:pPr>
        <w:spacing w:line="360" w:lineRule="auto"/>
        <w:ind w:firstLine="420"/>
        <w:rPr>
          <w:rFonts w:ascii="宋体" w:hAnsi="宋体"/>
        </w:rPr>
      </w:pPr>
      <w:r>
        <w:rPr>
          <w:rFonts w:hint="eastAsia"/>
          <w:sz w:val="20"/>
          <w:szCs w:val="20"/>
        </w:rPr>
        <w:t>GB</w:t>
      </w:r>
      <w:r>
        <w:rPr>
          <w:sz w:val="20"/>
          <w:szCs w:val="20"/>
        </w:rPr>
        <w:t xml:space="preserve"> </w:t>
      </w:r>
      <w:r>
        <w:rPr>
          <w:rFonts w:hint="eastAsia"/>
          <w:sz w:val="20"/>
          <w:szCs w:val="20"/>
        </w:rPr>
        <w:t>38031</w:t>
      </w:r>
      <w:r>
        <w:rPr>
          <w:rFonts w:hint="eastAsia" w:ascii="宋体" w:hAnsi="宋体"/>
        </w:rPr>
        <w:t>碰撞条件与现行国际标准内容相一致。因此维持原标准不变。</w:t>
      </w:r>
    </w:p>
    <w:p>
      <w:pPr>
        <w:pStyle w:val="19"/>
        <w:numPr>
          <w:ilvl w:val="0"/>
          <w:numId w:val="9"/>
        </w:numPr>
        <w:spacing w:line="360" w:lineRule="auto"/>
        <w:ind w:left="0" w:firstLine="426"/>
        <w:rPr>
          <w:rFonts w:ascii="宋体" w:hAnsi="宋体"/>
        </w:rPr>
      </w:pPr>
      <w:r>
        <w:rPr>
          <w:rFonts w:hint="eastAsia" w:ascii="宋体" w:hAnsi="宋体"/>
        </w:rPr>
        <w:t>挤压测试：挤压测试是模拟电池包或系统在车辆碰撞情况下可能发生的接触载荷下的安全性能。测试方法对比情况如</w:t>
      </w:r>
      <w:r>
        <w:rPr>
          <w:rFonts w:hint="eastAsia" w:ascii="宋体" w:hAnsi="宋体"/>
          <w:szCs w:val="21"/>
        </w:rPr>
        <w:t>表</w:t>
      </w:r>
      <w:r>
        <w:rPr>
          <w:sz w:val="20"/>
        </w:rPr>
        <w:t>22</w:t>
      </w:r>
      <w:r>
        <w:rPr>
          <w:rFonts w:hint="eastAsia" w:ascii="宋体" w:hAnsi="宋体"/>
          <w:szCs w:val="21"/>
        </w:rPr>
        <w:t>所示：</w:t>
      </w:r>
    </w:p>
    <w:p>
      <w:pPr>
        <w:spacing w:line="360" w:lineRule="auto"/>
        <w:ind w:firstLine="400"/>
        <w:jc w:val="center"/>
        <w:rPr>
          <w:sz w:val="20"/>
        </w:rPr>
      </w:pPr>
      <w:r>
        <w:rPr>
          <w:rFonts w:hint="eastAsia"/>
          <w:sz w:val="20"/>
        </w:rPr>
        <w:t>表</w:t>
      </w:r>
      <w:r>
        <w:rPr>
          <w:sz w:val="20"/>
        </w:rPr>
        <w:t>22</w:t>
      </w:r>
      <w:r>
        <w:rPr>
          <w:rFonts w:hint="eastAsia"/>
          <w:sz w:val="20"/>
        </w:rPr>
        <w:t>：电池包或系统挤压测试对比</w:t>
      </w:r>
    </w:p>
    <w:tbl>
      <w:tblPr>
        <w:tblStyle w:val="9"/>
        <w:tblW w:w="8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27"/>
        <w:gridCol w:w="1828"/>
        <w:gridCol w:w="1828"/>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129" w:type="dxa"/>
            <w:shd w:val="clear" w:color="auto" w:fill="auto"/>
            <w:vAlign w:val="center"/>
          </w:tcPr>
          <w:p>
            <w:pPr>
              <w:jc w:val="center"/>
              <w:rPr>
                <w:sz w:val="20"/>
                <w:szCs w:val="20"/>
              </w:rPr>
            </w:pPr>
            <w:r>
              <w:rPr>
                <w:rFonts w:hint="eastAsia"/>
                <w:sz w:val="20"/>
                <w:szCs w:val="20"/>
              </w:rPr>
              <w:t>标准</w:t>
            </w:r>
          </w:p>
        </w:tc>
        <w:tc>
          <w:tcPr>
            <w:tcW w:w="1827" w:type="dxa"/>
            <w:shd w:val="clear" w:color="auto" w:fill="auto"/>
            <w:vAlign w:val="center"/>
          </w:tcPr>
          <w:p>
            <w:pPr>
              <w:jc w:val="center"/>
              <w:rPr>
                <w:sz w:val="20"/>
                <w:szCs w:val="20"/>
              </w:rPr>
            </w:pPr>
            <w:r>
              <w:rPr>
                <w:sz w:val="20"/>
                <w:szCs w:val="20"/>
              </w:rPr>
              <w:t>GB 38031-2020</w:t>
            </w:r>
          </w:p>
        </w:tc>
        <w:tc>
          <w:tcPr>
            <w:tcW w:w="1828" w:type="dxa"/>
            <w:vAlign w:val="center"/>
          </w:tcPr>
          <w:p>
            <w:pPr>
              <w:jc w:val="center"/>
              <w:rPr>
                <w:sz w:val="20"/>
                <w:szCs w:val="20"/>
              </w:rPr>
            </w:pPr>
            <w:r>
              <w:rPr>
                <w:sz w:val="20"/>
                <w:szCs w:val="20"/>
              </w:rPr>
              <w:t>ISO 6469-1:2019</w:t>
            </w:r>
          </w:p>
        </w:tc>
        <w:tc>
          <w:tcPr>
            <w:tcW w:w="1828" w:type="dxa"/>
            <w:vAlign w:val="center"/>
          </w:tcPr>
          <w:p>
            <w:pPr>
              <w:jc w:val="center"/>
              <w:rPr>
                <w:sz w:val="20"/>
                <w:szCs w:val="20"/>
              </w:rPr>
            </w:pPr>
            <w:r>
              <w:rPr>
                <w:sz w:val="20"/>
                <w:szCs w:val="20"/>
              </w:rPr>
              <w:t>EVS GTR</w:t>
            </w:r>
          </w:p>
        </w:tc>
        <w:tc>
          <w:tcPr>
            <w:tcW w:w="1828" w:type="dxa"/>
            <w:vAlign w:val="center"/>
          </w:tcPr>
          <w:p>
            <w:pPr>
              <w:jc w:val="center"/>
              <w:rPr>
                <w:sz w:val="20"/>
                <w:szCs w:val="20"/>
              </w:rPr>
            </w:pPr>
            <w:r>
              <w:rPr>
                <w:sz w:val="20"/>
                <w:szCs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129" w:type="dxa"/>
            <w:shd w:val="clear" w:color="auto" w:fill="auto"/>
            <w:vAlign w:val="center"/>
          </w:tcPr>
          <w:p>
            <w:pPr>
              <w:widowControl w:val="0"/>
              <w:jc w:val="center"/>
              <w:rPr>
                <w:sz w:val="20"/>
                <w:szCs w:val="20"/>
              </w:rPr>
            </w:pPr>
            <w:r>
              <w:rPr>
                <w:sz w:val="20"/>
                <w:szCs w:val="20"/>
              </w:rPr>
              <w:t>SOC状态</w:t>
            </w:r>
          </w:p>
        </w:tc>
        <w:tc>
          <w:tcPr>
            <w:tcW w:w="1827" w:type="dxa"/>
            <w:shd w:val="clear" w:color="auto" w:fill="auto"/>
            <w:vAlign w:val="center"/>
          </w:tcPr>
          <w:p>
            <w:pPr>
              <w:widowControl w:val="0"/>
              <w:rPr>
                <w:sz w:val="20"/>
                <w:szCs w:val="20"/>
              </w:rPr>
            </w:pPr>
            <w:r>
              <w:rPr>
                <w:rFonts w:hint="eastAsia"/>
                <w:sz w:val="20"/>
                <w:szCs w:val="20"/>
              </w:rPr>
              <w:t>完全充电状态</w:t>
            </w:r>
          </w:p>
        </w:tc>
        <w:tc>
          <w:tcPr>
            <w:tcW w:w="1828" w:type="dxa"/>
            <w:vAlign w:val="center"/>
          </w:tcPr>
          <w:p>
            <w:pPr>
              <w:widowControl w:val="0"/>
              <w:rPr>
                <w:sz w:val="20"/>
                <w:szCs w:val="20"/>
              </w:rPr>
            </w:pPr>
            <w:r>
              <w:rPr>
                <w:rFonts w:hint="eastAsia"/>
                <w:sz w:val="20"/>
                <w:szCs w:val="20"/>
              </w:rPr>
              <w:t>最高使用SOC</w:t>
            </w:r>
          </w:p>
        </w:tc>
        <w:tc>
          <w:tcPr>
            <w:tcW w:w="1828" w:type="dxa"/>
            <w:vAlign w:val="center"/>
          </w:tcPr>
          <w:p>
            <w:pPr>
              <w:widowControl w:val="0"/>
              <w:rPr>
                <w:sz w:val="20"/>
                <w:szCs w:val="20"/>
              </w:rPr>
            </w:pPr>
            <w:r>
              <w:rPr>
                <w:rFonts w:hint="eastAsia"/>
                <w:sz w:val="20"/>
                <w:szCs w:val="20"/>
              </w:rPr>
              <w:t>最高使用SOC</w:t>
            </w:r>
          </w:p>
        </w:tc>
        <w:tc>
          <w:tcPr>
            <w:tcW w:w="1828" w:type="dxa"/>
            <w:vAlign w:val="center"/>
          </w:tcPr>
          <w:p>
            <w:pPr>
              <w:widowControl w:val="0"/>
              <w:rPr>
                <w:sz w:val="20"/>
                <w:szCs w:val="20"/>
              </w:rPr>
            </w:pPr>
            <w:r>
              <w:rPr>
                <w:rFonts w:hint="eastAsia"/>
                <w:sz w:val="20"/>
                <w:szCs w:val="20"/>
              </w:rPr>
              <w:t>最高使用SOC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129" w:type="dxa"/>
            <w:shd w:val="clear" w:color="auto" w:fill="auto"/>
            <w:vAlign w:val="center"/>
          </w:tcPr>
          <w:p>
            <w:pPr>
              <w:widowControl w:val="0"/>
              <w:jc w:val="both"/>
              <w:rPr>
                <w:sz w:val="20"/>
                <w:szCs w:val="20"/>
              </w:rPr>
            </w:pPr>
            <w:r>
              <w:rPr>
                <w:sz w:val="20"/>
                <w:szCs w:val="20"/>
              </w:rPr>
              <w:t>挤压方向</w:t>
            </w:r>
          </w:p>
        </w:tc>
        <w:tc>
          <w:tcPr>
            <w:tcW w:w="1827" w:type="dxa"/>
            <w:shd w:val="clear" w:color="auto" w:fill="auto"/>
            <w:vAlign w:val="center"/>
          </w:tcPr>
          <w:p>
            <w:pPr>
              <w:widowControl w:val="0"/>
              <w:jc w:val="both"/>
              <w:rPr>
                <w:sz w:val="20"/>
                <w:szCs w:val="20"/>
              </w:rPr>
            </w:pPr>
            <w:r>
              <w:rPr>
                <w:sz w:val="20"/>
                <w:szCs w:val="20"/>
              </w:rPr>
              <w:t>x方向和y方向（汽车行驶方向为x轴方向，另一垂直于行驶方向的水平方向为y轴方向）</w:t>
            </w:r>
          </w:p>
        </w:tc>
        <w:tc>
          <w:tcPr>
            <w:tcW w:w="1828" w:type="dxa"/>
            <w:vAlign w:val="center"/>
          </w:tcPr>
          <w:p>
            <w:pPr>
              <w:widowControl w:val="0"/>
              <w:jc w:val="both"/>
              <w:rPr>
                <w:sz w:val="20"/>
                <w:szCs w:val="20"/>
              </w:rPr>
            </w:pPr>
            <w:r>
              <w:rPr>
                <w:sz w:val="20"/>
                <w:szCs w:val="20"/>
              </w:rPr>
              <w:t>挤压头的轴线应与电池包在车辆上的预期安装位置垂直，挤压头的中心应位于与挤压方向垂直的DUT投影平面的几何中心。</w:t>
            </w:r>
          </w:p>
          <w:p>
            <w:pPr>
              <w:widowControl w:val="0"/>
              <w:jc w:val="both"/>
              <w:rPr>
                <w:sz w:val="20"/>
                <w:szCs w:val="20"/>
              </w:rPr>
            </w:pPr>
            <w:r>
              <w:rPr>
                <w:sz w:val="20"/>
                <w:szCs w:val="20"/>
              </w:rPr>
              <w:t>挤压头的方向应根据客户的规格。应考虑相对于其在车辆中的安装的RESS或RESS子系统的行进方向。</w:t>
            </w:r>
          </w:p>
        </w:tc>
        <w:tc>
          <w:tcPr>
            <w:tcW w:w="1828" w:type="dxa"/>
            <w:vAlign w:val="center"/>
          </w:tcPr>
          <w:p>
            <w:pPr>
              <w:widowControl w:val="0"/>
              <w:rPr>
                <w:sz w:val="20"/>
                <w:szCs w:val="20"/>
              </w:rPr>
            </w:pPr>
            <w:r>
              <w:rPr>
                <w:sz w:val="20"/>
                <w:szCs w:val="20"/>
              </w:rPr>
              <w:t>X、Y</w:t>
            </w:r>
          </w:p>
        </w:tc>
        <w:tc>
          <w:tcPr>
            <w:tcW w:w="1828" w:type="dxa"/>
            <w:vAlign w:val="center"/>
          </w:tcPr>
          <w:p>
            <w:pPr>
              <w:widowControl w:val="0"/>
              <w:jc w:val="both"/>
              <w:rPr>
                <w:rFonts w:hint="eastAsia" w:eastAsia="宋体"/>
                <w:sz w:val="20"/>
                <w:szCs w:val="20"/>
                <w:lang w:eastAsia="zh-CN"/>
              </w:rPr>
            </w:pPr>
            <w:r>
              <w:rPr>
                <w:sz w:val="20"/>
                <w:szCs w:val="20"/>
              </w:rPr>
              <w:t>X、Y力的应用应由制造商考虑相对于其在车辆中的安装的REESS的运动方向来决定。施加的力是水平的，垂直于REESS的运动方向</w:t>
            </w:r>
            <w:r>
              <w:rPr>
                <w:rFonts w:hint="eastAsia"/>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29" w:type="dxa"/>
            <w:shd w:val="clear" w:color="auto" w:fill="auto"/>
            <w:vAlign w:val="center"/>
          </w:tcPr>
          <w:p>
            <w:pPr>
              <w:widowControl w:val="0"/>
              <w:jc w:val="both"/>
              <w:rPr>
                <w:sz w:val="20"/>
                <w:szCs w:val="20"/>
              </w:rPr>
            </w:pPr>
            <w:r>
              <w:rPr>
                <w:sz w:val="20"/>
                <w:szCs w:val="20"/>
              </w:rPr>
              <w:t>挤压速度</w:t>
            </w:r>
          </w:p>
        </w:tc>
        <w:tc>
          <w:tcPr>
            <w:tcW w:w="1827" w:type="dxa"/>
            <w:shd w:val="clear" w:color="auto" w:fill="auto"/>
            <w:vAlign w:val="center"/>
          </w:tcPr>
          <w:p>
            <w:pPr>
              <w:widowControl w:val="0"/>
              <w:rPr>
                <w:sz w:val="20"/>
                <w:szCs w:val="20"/>
              </w:rPr>
            </w:pPr>
            <w:r>
              <w:rPr>
                <w:sz w:val="20"/>
                <w:szCs w:val="20"/>
              </w:rPr>
              <w:t>不大于2mm/s</w:t>
            </w:r>
          </w:p>
        </w:tc>
        <w:tc>
          <w:tcPr>
            <w:tcW w:w="1828" w:type="dxa"/>
            <w:vAlign w:val="center"/>
          </w:tcPr>
          <w:p>
            <w:pPr>
              <w:widowControl w:val="0"/>
              <w:rPr>
                <w:sz w:val="20"/>
                <w:szCs w:val="20"/>
              </w:rPr>
            </w:pPr>
            <w:r>
              <w:rPr>
                <w:sz w:val="20"/>
                <w:szCs w:val="20"/>
              </w:rPr>
              <w:t>≤3min</w:t>
            </w:r>
          </w:p>
        </w:tc>
        <w:tc>
          <w:tcPr>
            <w:tcW w:w="1828" w:type="dxa"/>
            <w:vAlign w:val="center"/>
          </w:tcPr>
          <w:p>
            <w:pPr>
              <w:widowControl w:val="0"/>
              <w:rPr>
                <w:sz w:val="20"/>
                <w:szCs w:val="20"/>
              </w:rPr>
            </w:pPr>
            <w:r>
              <w:rPr>
                <w:sz w:val="20"/>
                <w:szCs w:val="20"/>
              </w:rPr>
              <w:t>≤3min</w:t>
            </w:r>
          </w:p>
        </w:tc>
        <w:tc>
          <w:tcPr>
            <w:tcW w:w="1828" w:type="dxa"/>
            <w:vAlign w:val="center"/>
          </w:tcPr>
          <w:p>
            <w:pPr>
              <w:widowControl w:val="0"/>
              <w:rPr>
                <w:sz w:val="20"/>
                <w:szCs w:val="20"/>
              </w:rPr>
            </w:pPr>
            <w:r>
              <w:rPr>
                <w:sz w:val="20"/>
                <w:szCs w:val="20"/>
              </w:rPr>
              <w:t>≤3min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129" w:type="dxa"/>
            <w:shd w:val="clear" w:color="auto" w:fill="auto"/>
            <w:vAlign w:val="center"/>
          </w:tcPr>
          <w:p>
            <w:pPr>
              <w:widowControl w:val="0"/>
              <w:jc w:val="both"/>
              <w:rPr>
                <w:sz w:val="20"/>
                <w:szCs w:val="20"/>
              </w:rPr>
            </w:pPr>
            <w:r>
              <w:rPr>
                <w:sz w:val="20"/>
                <w:szCs w:val="20"/>
              </w:rPr>
              <w:t>挤压力</w:t>
            </w:r>
          </w:p>
        </w:tc>
        <w:tc>
          <w:tcPr>
            <w:tcW w:w="1827" w:type="dxa"/>
            <w:shd w:val="clear" w:color="auto" w:fill="auto"/>
            <w:vAlign w:val="center"/>
          </w:tcPr>
          <w:p>
            <w:pPr>
              <w:widowControl w:val="0"/>
              <w:rPr>
                <w:sz w:val="20"/>
                <w:szCs w:val="20"/>
              </w:rPr>
            </w:pPr>
            <w:r>
              <w:rPr>
                <w:sz w:val="20"/>
                <w:szCs w:val="20"/>
              </w:rPr>
              <w:t>100kN</w:t>
            </w:r>
          </w:p>
        </w:tc>
        <w:tc>
          <w:tcPr>
            <w:tcW w:w="1828" w:type="dxa"/>
            <w:vAlign w:val="center"/>
          </w:tcPr>
          <w:p>
            <w:pPr>
              <w:widowControl w:val="0"/>
              <w:rPr>
                <w:sz w:val="20"/>
                <w:szCs w:val="20"/>
              </w:rPr>
            </w:pPr>
            <w:r>
              <w:rPr>
                <w:sz w:val="20"/>
                <w:szCs w:val="20"/>
              </w:rPr>
              <w:t>挤压力100-105</w:t>
            </w:r>
            <w:r>
              <w:rPr>
                <w:rFonts w:hint="eastAsia"/>
                <w:sz w:val="20"/>
                <w:szCs w:val="20"/>
                <w:lang w:val="en-US" w:eastAsia="zh-CN"/>
              </w:rPr>
              <w:t>k</w:t>
            </w:r>
            <w:r>
              <w:rPr>
                <w:sz w:val="20"/>
                <w:szCs w:val="20"/>
              </w:rPr>
              <w:t>N</w:t>
            </w:r>
          </w:p>
        </w:tc>
        <w:tc>
          <w:tcPr>
            <w:tcW w:w="1828" w:type="dxa"/>
            <w:vAlign w:val="center"/>
          </w:tcPr>
          <w:p>
            <w:pPr>
              <w:widowControl w:val="0"/>
              <w:rPr>
                <w:sz w:val="20"/>
                <w:szCs w:val="20"/>
              </w:rPr>
            </w:pPr>
            <w:r>
              <w:rPr>
                <w:sz w:val="20"/>
                <w:szCs w:val="20"/>
              </w:rPr>
              <w:t>挤压力100-105</w:t>
            </w:r>
            <w:r>
              <w:rPr>
                <w:rFonts w:hint="eastAsia"/>
                <w:sz w:val="20"/>
                <w:szCs w:val="20"/>
                <w:lang w:val="en-US" w:eastAsia="zh-CN"/>
              </w:rPr>
              <w:t>k</w:t>
            </w:r>
            <w:r>
              <w:rPr>
                <w:sz w:val="20"/>
                <w:szCs w:val="20"/>
              </w:rPr>
              <w:t>N</w:t>
            </w:r>
          </w:p>
        </w:tc>
        <w:tc>
          <w:tcPr>
            <w:tcW w:w="1828" w:type="dxa"/>
            <w:vAlign w:val="center"/>
          </w:tcPr>
          <w:p>
            <w:pPr>
              <w:widowControl w:val="0"/>
              <w:rPr>
                <w:sz w:val="20"/>
                <w:szCs w:val="20"/>
              </w:rPr>
            </w:pPr>
            <w:r>
              <w:rPr>
                <w:sz w:val="20"/>
                <w:szCs w:val="20"/>
              </w:rPr>
              <w:t>挤压力100-105</w:t>
            </w:r>
            <w:r>
              <w:rPr>
                <w:rFonts w:hint="eastAsia"/>
                <w:sz w:val="20"/>
                <w:szCs w:val="20"/>
                <w:lang w:val="en-US" w:eastAsia="zh-CN"/>
              </w:rPr>
              <w:t>k</w:t>
            </w:r>
            <w:r>
              <w:rPr>
                <w:sz w:val="20"/>
                <w:szCs w:val="20"/>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129" w:type="dxa"/>
            <w:shd w:val="clear" w:color="auto" w:fill="auto"/>
            <w:vAlign w:val="center"/>
          </w:tcPr>
          <w:p>
            <w:pPr>
              <w:widowControl w:val="0"/>
              <w:jc w:val="both"/>
              <w:rPr>
                <w:sz w:val="20"/>
                <w:szCs w:val="20"/>
              </w:rPr>
            </w:pPr>
            <w:r>
              <w:rPr>
                <w:sz w:val="20"/>
                <w:szCs w:val="20"/>
              </w:rPr>
              <w:t>挤压程度</w:t>
            </w:r>
          </w:p>
        </w:tc>
        <w:tc>
          <w:tcPr>
            <w:tcW w:w="1827" w:type="dxa"/>
            <w:shd w:val="clear" w:color="auto" w:fill="auto"/>
            <w:vAlign w:val="center"/>
          </w:tcPr>
          <w:p>
            <w:pPr>
              <w:widowControl w:val="0"/>
              <w:jc w:val="both"/>
              <w:rPr>
                <w:sz w:val="20"/>
                <w:szCs w:val="20"/>
              </w:rPr>
            </w:pPr>
            <w:r>
              <w:rPr>
                <w:sz w:val="20"/>
                <w:szCs w:val="20"/>
              </w:rPr>
              <w:t>挤压力达到100 kN或挤压变形M达到挤压方向的整体尺寸的30%时停止挤压</w:t>
            </w:r>
          </w:p>
        </w:tc>
        <w:tc>
          <w:tcPr>
            <w:tcW w:w="1828" w:type="dxa"/>
            <w:vAlign w:val="center"/>
          </w:tcPr>
          <w:p>
            <w:pPr>
              <w:widowControl w:val="0"/>
              <w:rPr>
                <w:sz w:val="20"/>
                <w:szCs w:val="20"/>
              </w:rPr>
            </w:pPr>
            <w:r>
              <w:rPr>
                <w:sz w:val="20"/>
                <w:szCs w:val="20"/>
              </w:rPr>
              <w:t>/</w:t>
            </w:r>
          </w:p>
        </w:tc>
        <w:tc>
          <w:tcPr>
            <w:tcW w:w="1828" w:type="dxa"/>
            <w:vAlign w:val="center"/>
          </w:tcPr>
          <w:p>
            <w:pPr>
              <w:widowControl w:val="0"/>
              <w:textAlignment w:val="center"/>
              <w:rPr>
                <w:sz w:val="20"/>
                <w:szCs w:val="20"/>
              </w:rPr>
            </w:pPr>
            <w:r>
              <w:rPr>
                <w:rFonts w:hint="eastAsia"/>
                <w:sz w:val="20"/>
                <w:szCs w:val="20"/>
              </w:rPr>
              <w:t>/</w:t>
            </w:r>
          </w:p>
        </w:tc>
        <w:tc>
          <w:tcPr>
            <w:tcW w:w="1828" w:type="dxa"/>
            <w:vAlign w:val="center"/>
          </w:tcPr>
          <w:p>
            <w:pPr>
              <w:widowControl w:val="0"/>
              <w:textAlignment w:val="center"/>
              <w:rPr>
                <w:sz w:val="20"/>
                <w:szCs w:val="20"/>
              </w:rPr>
            </w:pPr>
            <w:r>
              <w:rPr>
                <w:rFonts w:hint="eastAsia"/>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129" w:type="dxa"/>
            <w:shd w:val="clear" w:color="auto" w:fill="auto"/>
            <w:vAlign w:val="center"/>
          </w:tcPr>
          <w:p>
            <w:pPr>
              <w:widowControl w:val="0"/>
              <w:jc w:val="both"/>
              <w:rPr>
                <w:sz w:val="20"/>
                <w:szCs w:val="20"/>
              </w:rPr>
            </w:pPr>
            <w:r>
              <w:rPr>
                <w:sz w:val="20"/>
                <w:szCs w:val="20"/>
              </w:rPr>
              <w:t>保持时间</w:t>
            </w:r>
          </w:p>
        </w:tc>
        <w:tc>
          <w:tcPr>
            <w:tcW w:w="1827" w:type="dxa"/>
            <w:shd w:val="clear" w:color="auto" w:fill="auto"/>
            <w:vAlign w:val="center"/>
          </w:tcPr>
          <w:p>
            <w:pPr>
              <w:widowControl w:val="0"/>
              <w:rPr>
                <w:sz w:val="20"/>
                <w:szCs w:val="20"/>
              </w:rPr>
            </w:pPr>
            <w:r>
              <w:rPr>
                <w:sz w:val="20"/>
                <w:szCs w:val="20"/>
              </w:rPr>
              <w:t>10min</w:t>
            </w:r>
          </w:p>
        </w:tc>
        <w:tc>
          <w:tcPr>
            <w:tcW w:w="1828" w:type="dxa"/>
            <w:vAlign w:val="center"/>
          </w:tcPr>
          <w:p>
            <w:pPr>
              <w:widowControl w:val="0"/>
              <w:rPr>
                <w:sz w:val="20"/>
                <w:szCs w:val="20"/>
              </w:rPr>
            </w:pPr>
            <w:r>
              <w:rPr>
                <w:sz w:val="20"/>
                <w:szCs w:val="20"/>
              </w:rPr>
              <w:t>力保持100ms-10s</w:t>
            </w:r>
          </w:p>
        </w:tc>
        <w:tc>
          <w:tcPr>
            <w:tcW w:w="1828" w:type="dxa"/>
            <w:vAlign w:val="center"/>
          </w:tcPr>
          <w:p>
            <w:pPr>
              <w:widowControl w:val="0"/>
              <w:rPr>
                <w:sz w:val="20"/>
                <w:szCs w:val="20"/>
              </w:rPr>
            </w:pPr>
            <w:r>
              <w:rPr>
                <w:sz w:val="20"/>
                <w:szCs w:val="20"/>
              </w:rPr>
              <w:t>力保持100ms-10s</w:t>
            </w:r>
          </w:p>
        </w:tc>
        <w:tc>
          <w:tcPr>
            <w:tcW w:w="1828" w:type="dxa"/>
            <w:vAlign w:val="center"/>
          </w:tcPr>
          <w:p>
            <w:pPr>
              <w:widowControl w:val="0"/>
              <w:rPr>
                <w:sz w:val="20"/>
                <w:szCs w:val="20"/>
              </w:rPr>
            </w:pPr>
            <w:r>
              <w:rPr>
                <w:sz w:val="20"/>
                <w:szCs w:val="20"/>
              </w:rPr>
              <w:t>力保持100ms-10s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129" w:type="dxa"/>
            <w:shd w:val="clear" w:color="auto" w:fill="auto"/>
            <w:vAlign w:val="center"/>
          </w:tcPr>
          <w:p>
            <w:pPr>
              <w:widowControl w:val="0"/>
              <w:jc w:val="both"/>
              <w:rPr>
                <w:sz w:val="20"/>
                <w:szCs w:val="20"/>
              </w:rPr>
            </w:pPr>
            <w:r>
              <w:rPr>
                <w:sz w:val="20"/>
                <w:szCs w:val="20"/>
              </w:rPr>
              <w:t>判定要求</w:t>
            </w:r>
          </w:p>
        </w:tc>
        <w:tc>
          <w:tcPr>
            <w:tcW w:w="1827" w:type="dxa"/>
            <w:shd w:val="clear" w:color="auto" w:fill="auto"/>
            <w:vAlign w:val="center"/>
          </w:tcPr>
          <w:p>
            <w:pPr>
              <w:widowControl w:val="0"/>
              <w:jc w:val="both"/>
              <w:rPr>
                <w:sz w:val="20"/>
                <w:szCs w:val="20"/>
              </w:rPr>
            </w:pPr>
            <w:r>
              <w:rPr>
                <w:sz w:val="20"/>
                <w:szCs w:val="20"/>
              </w:rPr>
              <w:t>电池包或系统应不起火、不爆炸</w:t>
            </w:r>
          </w:p>
        </w:tc>
        <w:tc>
          <w:tcPr>
            <w:tcW w:w="1828" w:type="dxa"/>
            <w:vAlign w:val="center"/>
          </w:tcPr>
          <w:p>
            <w:pPr>
              <w:widowControl w:val="0"/>
              <w:jc w:val="both"/>
              <w:rPr>
                <w:sz w:val="20"/>
                <w:szCs w:val="20"/>
              </w:rPr>
            </w:pPr>
            <w:r>
              <w:rPr>
                <w:sz w:val="20"/>
                <w:szCs w:val="20"/>
              </w:rPr>
              <w:t>无泄漏、外壳破裂、起火或爆炸现象，试验后的绝缘电阻符合原文4.2节要求</w:t>
            </w:r>
          </w:p>
        </w:tc>
        <w:tc>
          <w:tcPr>
            <w:tcW w:w="1828" w:type="dxa"/>
            <w:vAlign w:val="center"/>
          </w:tcPr>
          <w:p>
            <w:pPr>
              <w:widowControl w:val="0"/>
              <w:jc w:val="both"/>
              <w:rPr>
                <w:sz w:val="20"/>
                <w:szCs w:val="20"/>
              </w:rPr>
            </w:pPr>
            <w:r>
              <w:rPr>
                <w:sz w:val="20"/>
                <w:szCs w:val="20"/>
              </w:rPr>
              <w:t>无电解液泄漏、不起火、不爆炸</w:t>
            </w:r>
          </w:p>
        </w:tc>
        <w:tc>
          <w:tcPr>
            <w:tcW w:w="1828" w:type="dxa"/>
            <w:vAlign w:val="center"/>
          </w:tcPr>
          <w:p>
            <w:pPr>
              <w:widowControl w:val="0"/>
              <w:jc w:val="both"/>
              <w:rPr>
                <w:sz w:val="20"/>
                <w:szCs w:val="20"/>
              </w:rPr>
            </w:pPr>
            <w:r>
              <w:rPr>
                <w:sz w:val="20"/>
                <w:szCs w:val="20"/>
              </w:rPr>
              <w:t>无电解液泄漏、不起火、不爆炸</w:t>
            </w:r>
          </w:p>
        </w:tc>
      </w:tr>
    </w:tbl>
    <w:p>
      <w:pPr>
        <w:spacing w:line="360" w:lineRule="auto"/>
        <w:ind w:firstLine="420"/>
        <w:jc w:val="both"/>
        <w:rPr>
          <w:rFonts w:hint="eastAsia" w:ascii="宋体" w:hAnsi="宋体" w:eastAsia="宋体"/>
          <w:szCs w:val="21"/>
          <w:lang w:eastAsia="zh-CN"/>
        </w:rPr>
      </w:pPr>
      <w:r>
        <w:rPr>
          <w:szCs w:val="21"/>
        </w:rPr>
        <w:t>GB 38031</w:t>
      </w:r>
      <w:r>
        <w:rPr>
          <w:rFonts w:hint="eastAsia"/>
          <w:szCs w:val="21"/>
          <w:lang w:eastAsia="zh-CN"/>
        </w:rPr>
        <w:t>—</w:t>
      </w:r>
      <w:r>
        <w:rPr>
          <w:szCs w:val="21"/>
        </w:rPr>
        <w:t>2020</w:t>
      </w:r>
      <w:r>
        <w:rPr>
          <w:rFonts w:ascii="宋体" w:hAnsi="宋体"/>
          <w:szCs w:val="21"/>
        </w:rPr>
        <w:t>以及国际标准</w:t>
      </w:r>
      <w:r>
        <w:rPr>
          <w:szCs w:val="21"/>
        </w:rPr>
        <w:t>ISO6469-1：2019、EVS-GTR、UN R100</w:t>
      </w:r>
      <w:r>
        <w:rPr>
          <w:rFonts w:ascii="宋体" w:hAnsi="宋体"/>
          <w:szCs w:val="21"/>
        </w:rPr>
        <w:t>中均具有该项测试</w:t>
      </w:r>
      <w:r>
        <w:rPr>
          <w:rFonts w:hint="eastAsia" w:ascii="宋体" w:hAnsi="宋体"/>
          <w:szCs w:val="21"/>
        </w:rPr>
        <w:t>。</w:t>
      </w:r>
      <w:r>
        <w:rPr>
          <w:szCs w:val="21"/>
        </w:rPr>
        <w:t>GB 38031</w:t>
      </w:r>
      <w:r>
        <w:rPr>
          <w:rFonts w:hint="eastAsia"/>
          <w:szCs w:val="21"/>
          <w:lang w:eastAsia="zh-CN"/>
        </w:rPr>
        <w:t>—</w:t>
      </w:r>
      <w:r>
        <w:rPr>
          <w:szCs w:val="21"/>
        </w:rPr>
        <w:t>2020</w:t>
      </w:r>
      <w:r>
        <w:rPr>
          <w:rFonts w:hint="eastAsia" w:ascii="宋体" w:hAnsi="宋体"/>
          <w:szCs w:val="21"/>
        </w:rPr>
        <w:t>中挤压测试截止条件为</w:t>
      </w:r>
      <w:r>
        <w:rPr>
          <w:rFonts w:ascii="宋体" w:hAnsi="宋体"/>
          <w:szCs w:val="21"/>
        </w:rPr>
        <w:t>的要求为挤压力达到</w:t>
      </w:r>
      <w:r>
        <w:rPr>
          <w:szCs w:val="21"/>
        </w:rPr>
        <w:t>100kN</w:t>
      </w:r>
      <w:r>
        <w:rPr>
          <w:rFonts w:ascii="宋体" w:hAnsi="宋体"/>
          <w:szCs w:val="21"/>
        </w:rPr>
        <w:t>或挤压变形达到挤压方向的整体尺寸的</w:t>
      </w:r>
      <w:r>
        <w:rPr>
          <w:szCs w:val="21"/>
        </w:rPr>
        <w:t>30%</w:t>
      </w:r>
      <w:r>
        <w:rPr>
          <w:rFonts w:ascii="宋体" w:hAnsi="宋体"/>
          <w:szCs w:val="21"/>
        </w:rPr>
        <w:t>时停止挤压；国</w:t>
      </w:r>
      <w:r>
        <w:rPr>
          <w:rFonts w:hint="eastAsia" w:ascii="宋体" w:hAnsi="宋体"/>
          <w:szCs w:val="21"/>
        </w:rPr>
        <w:t>际</w:t>
      </w:r>
      <w:r>
        <w:rPr>
          <w:rFonts w:ascii="宋体" w:hAnsi="宋体"/>
          <w:szCs w:val="21"/>
        </w:rPr>
        <w:t>标准</w:t>
      </w:r>
      <w:r>
        <w:rPr>
          <w:szCs w:val="21"/>
        </w:rPr>
        <w:t>ISO 6469-1:2019</w:t>
      </w:r>
      <w:r>
        <w:rPr>
          <w:rFonts w:hint="eastAsia"/>
          <w:szCs w:val="21"/>
        </w:rPr>
        <w:t>中为</w:t>
      </w:r>
      <w:r>
        <w:rPr>
          <w:szCs w:val="21"/>
        </w:rPr>
        <w:t>(100-0/+5) kN</w:t>
      </w:r>
      <w:r>
        <w:rPr>
          <w:rFonts w:ascii="宋体" w:hAnsi="宋体"/>
          <w:szCs w:val="21"/>
        </w:rPr>
        <w:t>或由客户根据车辆碰撞试验中的预期确定的值</w:t>
      </w:r>
      <w:r>
        <w:rPr>
          <w:rFonts w:hint="eastAsia" w:ascii="宋体" w:hAnsi="宋体"/>
          <w:szCs w:val="21"/>
        </w:rPr>
        <w:t>；</w:t>
      </w:r>
      <w:r>
        <w:rPr>
          <w:szCs w:val="21"/>
        </w:rPr>
        <w:t>UN-GTR</w:t>
      </w:r>
      <w:r>
        <w:rPr>
          <w:rFonts w:hint="eastAsia"/>
          <w:szCs w:val="21"/>
        </w:rPr>
        <w:t>、</w:t>
      </w:r>
      <w:r>
        <w:rPr>
          <w:szCs w:val="21"/>
        </w:rPr>
        <w:t>UN R100</w:t>
      </w:r>
      <w:r>
        <w:rPr>
          <w:rFonts w:hint="eastAsia" w:ascii="宋体" w:hAnsi="宋体"/>
          <w:szCs w:val="21"/>
        </w:rPr>
        <w:t>中为</w:t>
      </w:r>
      <w:r>
        <w:rPr>
          <w:szCs w:val="21"/>
        </w:rPr>
        <w:t>(100-0/+5) kN</w:t>
      </w:r>
      <w:r>
        <w:rPr>
          <w:rFonts w:hint="eastAsia" w:ascii="宋体" w:hAnsi="宋体"/>
          <w:szCs w:val="21"/>
        </w:rPr>
        <w:t>截止。考虑到通过结构变形承担电池包在实际工况下的损伤也是一种产品设计理念，</w:t>
      </w:r>
      <w:r>
        <w:rPr>
          <w:szCs w:val="21"/>
        </w:rPr>
        <w:t>GB 38031</w:t>
      </w:r>
      <w:r>
        <w:rPr>
          <w:rFonts w:hint="eastAsia" w:ascii="宋体" w:hAnsi="宋体"/>
          <w:szCs w:val="21"/>
        </w:rPr>
        <w:t>中定义的挤压测试截止条件维持不变。而针对电池包包含车身结构的情况，增加“对于带部分车体进行挤压的情况，补充说明限制采取</w:t>
      </w:r>
      <w:r>
        <w:rPr>
          <w:szCs w:val="21"/>
        </w:rPr>
        <w:t>30%</w:t>
      </w:r>
      <w:r>
        <w:rPr>
          <w:rFonts w:hint="eastAsia" w:ascii="宋体" w:hAnsi="宋体"/>
          <w:szCs w:val="21"/>
        </w:rPr>
        <w:t>变形量作为截止条件”</w:t>
      </w:r>
      <w:r>
        <w:rPr>
          <w:rFonts w:hint="eastAsia" w:ascii="宋体" w:hAnsi="宋体"/>
          <w:szCs w:val="21"/>
          <w:lang w:eastAsia="zh-CN"/>
        </w:rPr>
        <w:t>。</w:t>
      </w:r>
    </w:p>
    <w:p>
      <w:pPr>
        <w:pStyle w:val="19"/>
        <w:numPr>
          <w:ilvl w:val="0"/>
          <w:numId w:val="9"/>
        </w:numPr>
        <w:spacing w:line="360" w:lineRule="auto"/>
        <w:ind w:left="0" w:firstLine="426"/>
        <w:jc w:val="both"/>
        <w:rPr>
          <w:rFonts w:ascii="宋体" w:hAnsi="宋体"/>
          <w:szCs w:val="21"/>
        </w:rPr>
      </w:pPr>
      <w:r>
        <w:rPr>
          <w:rFonts w:hint="eastAsia" w:ascii="宋体" w:hAnsi="宋体"/>
          <w:szCs w:val="21"/>
        </w:rPr>
        <w:t>湿热循环测试：湿热循环是为了模拟高温和湿度对电池安全性的影响。</w:t>
      </w:r>
      <w:r>
        <w:rPr>
          <w:szCs w:val="21"/>
        </w:rPr>
        <w:t>GB 38031</w:t>
      </w:r>
      <w:r>
        <w:rPr>
          <w:rFonts w:hint="eastAsia"/>
          <w:szCs w:val="21"/>
          <w:lang w:eastAsia="zh-CN"/>
        </w:rPr>
        <w:t>—</w:t>
      </w:r>
      <w:r>
        <w:rPr>
          <w:szCs w:val="21"/>
        </w:rPr>
        <w:t>2020</w:t>
      </w:r>
      <w:r>
        <w:rPr>
          <w:rFonts w:ascii="宋体" w:hAnsi="宋体"/>
          <w:szCs w:val="21"/>
        </w:rPr>
        <w:t>中引用</w:t>
      </w:r>
      <w:r>
        <w:rPr>
          <w:szCs w:val="21"/>
        </w:rPr>
        <w:t>GB/T 2423.4</w:t>
      </w:r>
      <w:r>
        <w:rPr>
          <w:rFonts w:ascii="宋体" w:hAnsi="宋体"/>
          <w:szCs w:val="21"/>
        </w:rPr>
        <w:t>电工电子产品环境试验执行</w:t>
      </w:r>
      <w:r>
        <w:rPr>
          <w:szCs w:val="21"/>
        </w:rPr>
        <w:t>Db</w:t>
      </w:r>
      <w:r>
        <w:rPr>
          <w:rFonts w:ascii="宋体" w:hAnsi="宋体"/>
          <w:szCs w:val="21"/>
        </w:rPr>
        <w:t>，其余标准均没有该测试。</w:t>
      </w:r>
      <w:r>
        <w:rPr>
          <w:rFonts w:hint="eastAsia" w:ascii="宋体" w:hAnsi="宋体"/>
          <w:szCs w:val="21"/>
        </w:rPr>
        <w:t>测试方法对比情况如表</w:t>
      </w:r>
      <w:r>
        <w:rPr>
          <w:szCs w:val="21"/>
        </w:rPr>
        <w:t>23</w:t>
      </w:r>
      <w:r>
        <w:rPr>
          <w:rFonts w:hint="eastAsia" w:ascii="宋体" w:hAnsi="宋体"/>
          <w:szCs w:val="21"/>
        </w:rPr>
        <w:t>所示：</w:t>
      </w:r>
    </w:p>
    <w:p>
      <w:pPr>
        <w:ind w:firstLine="400"/>
        <w:jc w:val="center"/>
        <w:rPr>
          <w:sz w:val="20"/>
        </w:rPr>
      </w:pPr>
      <w:r>
        <w:rPr>
          <w:rFonts w:hint="eastAsia"/>
          <w:sz w:val="20"/>
        </w:rPr>
        <w:t>表</w:t>
      </w:r>
      <w:r>
        <w:rPr>
          <w:sz w:val="20"/>
        </w:rPr>
        <w:t>23</w:t>
      </w:r>
      <w:r>
        <w:rPr>
          <w:rFonts w:hint="eastAsia"/>
          <w:sz w:val="20"/>
        </w:rPr>
        <w:t>：电池包或系统湿热循环测试对比</w:t>
      </w:r>
    </w:p>
    <w:p>
      <w:pPr>
        <w:spacing w:line="400" w:lineRule="exact"/>
        <w:ind w:firstLine="420"/>
        <w:jc w:val="center"/>
        <w:rPr>
          <w:rFonts w:ascii="宋体" w:hAnsi="宋体"/>
        </w:rPr>
      </w:pPr>
    </w:p>
    <w:tbl>
      <w:tblPr>
        <w:tblStyle w:val="9"/>
        <w:tblpPr w:leftFromText="180" w:rightFromText="180" w:vertAnchor="text" w:horzAnchor="margin" w:tblpXSpec="center" w:tblpY="-28"/>
        <w:tblOverlap w:val="never"/>
        <w:tblW w:w="8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621"/>
        <w:gridCol w:w="3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1060" w:type="dxa"/>
            <w:shd w:val="clear" w:color="auto" w:fill="auto"/>
            <w:vAlign w:val="center"/>
          </w:tcPr>
          <w:p>
            <w:pPr>
              <w:spacing w:line="276" w:lineRule="auto"/>
              <w:jc w:val="center"/>
              <w:rPr>
                <w:sz w:val="20"/>
                <w:szCs w:val="20"/>
              </w:rPr>
            </w:pPr>
            <w:r>
              <w:rPr>
                <w:rFonts w:hint="eastAsia"/>
                <w:sz w:val="20"/>
                <w:szCs w:val="20"/>
              </w:rPr>
              <w:t>标准名称</w:t>
            </w:r>
          </w:p>
        </w:tc>
        <w:tc>
          <w:tcPr>
            <w:tcW w:w="3621" w:type="dxa"/>
            <w:shd w:val="clear" w:color="auto" w:fill="auto"/>
            <w:vAlign w:val="center"/>
          </w:tcPr>
          <w:p>
            <w:pPr>
              <w:spacing w:line="276" w:lineRule="auto"/>
              <w:jc w:val="center"/>
              <w:rPr>
                <w:sz w:val="20"/>
                <w:szCs w:val="20"/>
              </w:rPr>
            </w:pPr>
            <w:r>
              <w:rPr>
                <w:szCs w:val="21"/>
              </w:rPr>
              <w:t>GB 38031</w:t>
            </w:r>
            <w:r>
              <w:rPr>
                <w:rFonts w:hint="eastAsia"/>
                <w:szCs w:val="21"/>
                <w:lang w:eastAsia="zh-CN"/>
              </w:rPr>
              <w:t>—</w:t>
            </w:r>
            <w:r>
              <w:rPr>
                <w:szCs w:val="21"/>
              </w:rPr>
              <w:t>2020</w:t>
            </w:r>
          </w:p>
        </w:tc>
        <w:tc>
          <w:tcPr>
            <w:tcW w:w="3618" w:type="dxa"/>
            <w:shd w:val="clear" w:color="auto" w:fill="auto"/>
            <w:vAlign w:val="center"/>
          </w:tcPr>
          <w:p>
            <w:pPr>
              <w:spacing w:line="276" w:lineRule="auto"/>
              <w:jc w:val="center"/>
              <w:rPr>
                <w:sz w:val="20"/>
                <w:szCs w:val="20"/>
              </w:rPr>
            </w:pPr>
            <w:r>
              <w:rPr>
                <w:rFonts w:hint="eastAsia"/>
                <w:sz w:val="20"/>
                <w:szCs w:val="20"/>
              </w:rPr>
              <w:t>GB/T 2423.4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1060" w:type="dxa"/>
            <w:shd w:val="clear" w:color="auto" w:fill="auto"/>
            <w:vAlign w:val="center"/>
          </w:tcPr>
          <w:p>
            <w:pPr>
              <w:widowControl w:val="0"/>
              <w:spacing w:line="276" w:lineRule="auto"/>
              <w:jc w:val="center"/>
              <w:rPr>
                <w:sz w:val="20"/>
                <w:szCs w:val="20"/>
              </w:rPr>
            </w:pPr>
            <w:r>
              <w:rPr>
                <w:sz w:val="20"/>
                <w:szCs w:val="20"/>
              </w:rPr>
              <w:t>循环时间</w:t>
            </w:r>
          </w:p>
        </w:tc>
        <w:tc>
          <w:tcPr>
            <w:tcW w:w="3621" w:type="dxa"/>
            <w:shd w:val="clear" w:color="auto" w:fill="auto"/>
            <w:vAlign w:val="center"/>
          </w:tcPr>
          <w:p>
            <w:pPr>
              <w:widowControl w:val="0"/>
              <w:spacing w:line="276" w:lineRule="auto"/>
              <w:jc w:val="center"/>
              <w:rPr>
                <w:sz w:val="20"/>
                <w:szCs w:val="20"/>
              </w:rPr>
            </w:pPr>
            <w:r>
              <w:rPr>
                <w:sz w:val="20"/>
                <w:szCs w:val="20"/>
              </w:rPr>
              <w:t>5h</w:t>
            </w:r>
          </w:p>
        </w:tc>
        <w:tc>
          <w:tcPr>
            <w:tcW w:w="3618" w:type="dxa"/>
            <w:shd w:val="clear" w:color="auto" w:fill="auto"/>
            <w:vAlign w:val="center"/>
          </w:tcPr>
          <w:p>
            <w:pPr>
              <w:widowControl w:val="0"/>
              <w:spacing w:line="276" w:lineRule="auto"/>
              <w:jc w:val="center"/>
              <w:rPr>
                <w:sz w:val="20"/>
                <w:szCs w:val="20"/>
              </w:rPr>
            </w:pPr>
            <w:r>
              <w:rPr>
                <w:sz w:val="20"/>
                <w:szCs w:val="20"/>
              </w:rPr>
              <w:t>24h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1060" w:type="dxa"/>
            <w:vMerge w:val="restart"/>
            <w:shd w:val="clear" w:color="auto" w:fill="auto"/>
            <w:vAlign w:val="center"/>
          </w:tcPr>
          <w:p>
            <w:pPr>
              <w:widowControl w:val="0"/>
              <w:spacing w:line="276" w:lineRule="auto"/>
              <w:jc w:val="center"/>
              <w:rPr>
                <w:sz w:val="20"/>
                <w:szCs w:val="20"/>
              </w:rPr>
            </w:pPr>
            <w:r>
              <w:rPr>
                <w:sz w:val="20"/>
                <w:szCs w:val="20"/>
              </w:rPr>
              <w:t>温湿度变化曲线</w:t>
            </w:r>
          </w:p>
        </w:tc>
        <w:tc>
          <w:tcPr>
            <w:tcW w:w="3621" w:type="dxa"/>
            <w:shd w:val="clear" w:color="auto" w:fill="auto"/>
            <w:vAlign w:val="center"/>
          </w:tcPr>
          <w:p>
            <w:pPr>
              <w:widowControl w:val="0"/>
              <w:spacing w:line="276" w:lineRule="auto"/>
              <w:jc w:val="center"/>
              <w:rPr>
                <w:sz w:val="20"/>
                <w:szCs w:val="20"/>
              </w:rPr>
            </w:pPr>
            <w:r>
              <w:rPr>
                <w:sz w:val="20"/>
                <w:szCs w:val="20"/>
              </w:rPr>
              <w:drawing>
                <wp:inline distT="0" distB="0" distL="0" distR="0">
                  <wp:extent cx="1784350" cy="1323975"/>
                  <wp:effectExtent l="0" t="0" r="6350" b="9525"/>
                  <wp:docPr id="1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IMG_25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94469" cy="1331672"/>
                          </a:xfrm>
                          <a:prstGeom prst="rect">
                            <a:avLst/>
                          </a:prstGeom>
                          <a:noFill/>
                          <a:ln w="9525">
                            <a:noFill/>
                          </a:ln>
                        </pic:spPr>
                      </pic:pic>
                    </a:graphicData>
                  </a:graphic>
                </wp:inline>
              </w:drawing>
            </w:r>
            <w:r>
              <w:rPr>
                <w:sz w:val="20"/>
                <w:szCs w:val="20"/>
              </w:rPr>
              <mc:AlternateContent>
                <mc:Choice Requires="wps">
                  <w:drawing>
                    <wp:anchor distT="0" distB="0" distL="114300" distR="114300" simplePos="0" relativeHeight="251659264" behindDoc="0" locked="0" layoutInCell="1" allowOverlap="1">
                      <wp:simplePos x="0" y="0"/>
                      <wp:positionH relativeFrom="column">
                        <wp:posOffset>335915</wp:posOffset>
                      </wp:positionH>
                      <wp:positionV relativeFrom="paragraph">
                        <wp:posOffset>519430</wp:posOffset>
                      </wp:positionV>
                      <wp:extent cx="1669415" cy="6985"/>
                      <wp:effectExtent l="0" t="0" r="0" b="0"/>
                      <wp:wrapNone/>
                      <wp:docPr id="12" name="直接连接符 12"/>
                      <wp:cNvGraphicFramePr/>
                      <a:graphic xmlns:a="http://schemas.openxmlformats.org/drawingml/2006/main">
                        <a:graphicData uri="http://schemas.microsoft.com/office/word/2010/wordprocessingShape">
                          <wps:wsp>
                            <wps:cNvCnPr/>
                            <wps:spPr>
                              <a:xfrm flipV="1">
                                <a:off x="1671320" y="3560445"/>
                                <a:ext cx="1669415" cy="6985"/>
                              </a:xfrm>
                              <a:prstGeom prst="line">
                                <a:avLst/>
                              </a:prstGeom>
                              <a:noFill/>
                              <a:ln w="12700" cap="flat" cmpd="sng" algn="ctr">
                                <a:noFill/>
                                <a:prstDash val="solid"/>
                                <a:miter lim="800000"/>
                              </a:ln>
                              <a:effectLst/>
                            </wps:spPr>
                            <wps:bodyPr/>
                          </wps:wsp>
                        </a:graphicData>
                      </a:graphic>
                    </wp:anchor>
                  </w:drawing>
                </mc:Choice>
                <mc:Fallback>
                  <w:pict>
                    <v:line id="_x0000_s1026" o:spid="_x0000_s1026" o:spt="20" style="position:absolute;left:0pt;flip:y;margin-left:26.45pt;margin-top:40.9pt;height:0.55pt;width:131.45pt;z-index:251659264;mso-width-relative:page;mso-height-relative:page;" filled="f" stroked="f" coordsize="21600,21600" o:gfxdata="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jsonLWAAAACAEAAA8AAAAAAAAAAQAgAAAAIgAAAGRycy9kb3ducmV2LnhtbFBLAQIUABQA&#10;AAAIAIdO4kDkZexo8gEAALIDAAAOAAAAAAAAAAEAIAAAACUBAABkcnMvZTJvRG9jLnhtbFBLBQYA&#10;AAAABgAGAFkBAACJBQAAAAA=&#10;">
                      <v:fill on="f" focussize="0,0"/>
                      <v:stroke on="f" weight="1pt" miterlimit="8" joinstyle="miter"/>
                      <v:imagedata o:title=""/>
                      <o:lock v:ext="edit" aspectratio="f"/>
                    </v:line>
                  </w:pict>
                </mc:Fallback>
              </mc:AlternateContent>
            </w:r>
          </w:p>
        </w:tc>
        <w:tc>
          <w:tcPr>
            <w:tcW w:w="3618" w:type="dxa"/>
            <w:vMerge w:val="restart"/>
            <w:shd w:val="clear" w:color="auto" w:fill="auto"/>
            <w:vAlign w:val="center"/>
          </w:tcPr>
          <w:p>
            <w:pPr>
              <w:widowControl w:val="0"/>
              <w:spacing w:line="276" w:lineRule="auto"/>
              <w:jc w:val="center"/>
              <w:rPr>
                <w:sz w:val="20"/>
                <w:szCs w:val="20"/>
              </w:rPr>
            </w:pPr>
            <w:r>
              <w:rPr>
                <w:sz w:val="20"/>
                <w:szCs w:val="20"/>
              </w:rPr>
              <w:drawing>
                <wp:inline distT="0" distB="0" distL="0" distR="0">
                  <wp:extent cx="2142490" cy="2355850"/>
                  <wp:effectExtent l="0" t="0" r="0" b="635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27"/>
                          <a:stretch>
                            <a:fillRect/>
                          </a:stretch>
                        </pic:blipFill>
                        <pic:spPr>
                          <a:xfrm>
                            <a:off x="0" y="0"/>
                            <a:ext cx="2144629" cy="2358127"/>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1060" w:type="dxa"/>
            <w:vMerge w:val="continue"/>
            <w:shd w:val="clear" w:color="auto" w:fill="auto"/>
            <w:vAlign w:val="center"/>
          </w:tcPr>
          <w:p>
            <w:pPr>
              <w:spacing w:line="276" w:lineRule="auto"/>
              <w:ind w:firstLine="480"/>
              <w:rPr>
                <w:sz w:val="24"/>
              </w:rPr>
            </w:pPr>
          </w:p>
        </w:tc>
        <w:tc>
          <w:tcPr>
            <w:tcW w:w="3621" w:type="dxa"/>
            <w:shd w:val="clear" w:color="auto" w:fill="auto"/>
            <w:vAlign w:val="center"/>
          </w:tcPr>
          <w:p>
            <w:pPr>
              <w:spacing w:line="276" w:lineRule="auto"/>
              <w:jc w:val="center"/>
              <w:textAlignment w:val="center"/>
              <w:rPr>
                <w:rFonts w:ascii="宋体" w:hAnsi="宋体" w:cs="宋体"/>
                <w:sz w:val="24"/>
              </w:rPr>
            </w:pPr>
            <w:r>
              <w:rPr>
                <w:rFonts w:hint="eastAsia" w:ascii="宋体" w:hAnsi="宋体" w:cs="宋体"/>
                <w:kern w:val="0"/>
                <w:sz w:val="24"/>
              </w:rPr>
              <w:drawing>
                <wp:inline distT="0" distB="0" distL="0" distR="0">
                  <wp:extent cx="1657350" cy="1347470"/>
                  <wp:effectExtent l="0" t="0" r="0" b="5080"/>
                  <wp:docPr id="20"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IMG_258"/>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77771" cy="1364620"/>
                          </a:xfrm>
                          <a:prstGeom prst="rect">
                            <a:avLst/>
                          </a:prstGeom>
                          <a:noFill/>
                          <a:ln w="9525">
                            <a:noFill/>
                          </a:ln>
                        </pic:spPr>
                      </pic:pic>
                    </a:graphicData>
                  </a:graphic>
                </wp:inline>
              </w:drawing>
            </w:r>
          </w:p>
        </w:tc>
        <w:tc>
          <w:tcPr>
            <w:tcW w:w="3618" w:type="dxa"/>
            <w:vMerge w:val="continue"/>
            <w:shd w:val="clear" w:color="auto" w:fill="auto"/>
            <w:vAlign w:val="center"/>
          </w:tcPr>
          <w:p>
            <w:pPr>
              <w:spacing w:line="276" w:lineRule="auto"/>
              <w:ind w:firstLine="480"/>
              <w:rPr>
                <w:sz w:val="24"/>
              </w:rPr>
            </w:pPr>
          </w:p>
        </w:tc>
      </w:tr>
    </w:tbl>
    <w:p>
      <w:pPr>
        <w:spacing w:line="360" w:lineRule="auto"/>
        <w:ind w:firstLine="420"/>
        <w:jc w:val="both"/>
        <w:rPr>
          <w:rFonts w:ascii="宋体" w:hAnsi="宋体"/>
          <w:szCs w:val="21"/>
        </w:rPr>
      </w:pPr>
      <w:r>
        <w:rPr>
          <w:rFonts w:hint="eastAsia"/>
          <w:szCs w:val="21"/>
        </w:rPr>
        <w:t>GB 38031-2020</w:t>
      </w:r>
      <w:r>
        <w:rPr>
          <w:rFonts w:hint="eastAsia" w:ascii="宋体" w:hAnsi="宋体"/>
          <w:szCs w:val="21"/>
        </w:rPr>
        <w:t>的湿热循环测试中指出引用</w:t>
      </w:r>
      <w:r>
        <w:rPr>
          <w:rFonts w:hint="eastAsia"/>
          <w:szCs w:val="21"/>
        </w:rPr>
        <w:t>GB/T 2423.4</w:t>
      </w:r>
      <w:r>
        <w:rPr>
          <w:rFonts w:hint="eastAsia" w:ascii="宋体" w:hAnsi="宋体"/>
          <w:szCs w:val="21"/>
        </w:rPr>
        <w:t>电工电子产品环境试验执行</w:t>
      </w:r>
      <w:r>
        <w:rPr>
          <w:rFonts w:hint="eastAsia"/>
          <w:szCs w:val="21"/>
        </w:rPr>
        <w:t>Db</w:t>
      </w:r>
      <w:r>
        <w:rPr>
          <w:rFonts w:hint="eastAsia" w:ascii="宋体" w:hAnsi="宋体"/>
          <w:szCs w:val="21"/>
        </w:rPr>
        <w:t>，但试验的湿度循环曲线的变化幅度与</w:t>
      </w:r>
      <w:r>
        <w:rPr>
          <w:rFonts w:hint="eastAsia"/>
          <w:szCs w:val="21"/>
        </w:rPr>
        <w:t>GB/T 2423.4</w:t>
      </w:r>
      <w:r>
        <w:rPr>
          <w:rFonts w:hint="eastAsia" w:ascii="宋体" w:hAnsi="宋体"/>
          <w:szCs w:val="21"/>
        </w:rPr>
        <w:t xml:space="preserve">不一致，具体测试工况来自 </w:t>
      </w:r>
      <w:bookmarkStart w:id="53" w:name="_Hlk162940871"/>
      <w:r>
        <w:rPr>
          <w:rFonts w:hint="eastAsia"/>
          <w:szCs w:val="21"/>
        </w:rPr>
        <w:t>ISO 19453.4-2018</w:t>
      </w:r>
      <w:bookmarkEnd w:id="53"/>
      <w:r>
        <w:rPr>
          <w:rFonts w:hint="eastAsia" w:ascii="宋体" w:hAnsi="宋体"/>
          <w:szCs w:val="21"/>
        </w:rPr>
        <w:t>《道路车辆--电气和电子设备的环境条件和测试 电动汽车的驱动系统- 第</w:t>
      </w:r>
      <w:r>
        <w:rPr>
          <w:rFonts w:hint="eastAsia" w:ascii="宋体" w:hAnsi="宋体"/>
          <w:szCs w:val="21"/>
          <w:lang w:val="en-US" w:eastAsia="zh-CN"/>
        </w:rPr>
        <w:t>4</w:t>
      </w:r>
      <w:r>
        <w:rPr>
          <w:rFonts w:hint="eastAsia" w:ascii="宋体" w:hAnsi="宋体"/>
          <w:szCs w:val="21"/>
        </w:rPr>
        <w:t>部分：气候负荷》中</w:t>
      </w:r>
      <w:bookmarkStart w:id="54" w:name="_Hlk162940883"/>
      <w:r>
        <w:rPr>
          <w:rFonts w:hint="eastAsia"/>
          <w:szCs w:val="21"/>
        </w:rPr>
        <w:t>5.5.2</w:t>
      </w:r>
      <w:r>
        <w:rPr>
          <w:rFonts w:hint="eastAsia" w:ascii="宋体" w:hAnsi="宋体"/>
          <w:szCs w:val="21"/>
        </w:rPr>
        <w:t>规定的条件</w:t>
      </w:r>
      <w:bookmarkEnd w:id="54"/>
      <w:r>
        <w:rPr>
          <w:rFonts w:hint="eastAsia" w:ascii="宋体" w:hAnsi="宋体"/>
          <w:szCs w:val="21"/>
        </w:rPr>
        <w:t>；试验使用图</w:t>
      </w:r>
      <w:r>
        <w:rPr>
          <w:rFonts w:hint="eastAsia"/>
          <w:szCs w:val="21"/>
        </w:rPr>
        <w:t>9</w:t>
      </w:r>
      <w:r>
        <w:rPr>
          <w:rFonts w:hint="eastAsia" w:ascii="宋体" w:hAnsi="宋体"/>
          <w:szCs w:val="21"/>
        </w:rPr>
        <w:t>的变量，循环次数5次，最高温度为</w:t>
      </w:r>
      <w:r>
        <w:rPr>
          <w:rFonts w:hint="eastAsia"/>
          <w:szCs w:val="21"/>
        </w:rPr>
        <w:t>（</w:t>
      </w:r>
      <w:r>
        <w:rPr>
          <w:szCs w:val="21"/>
        </w:rPr>
        <w:t>80</w:t>
      </w:r>
      <w:r>
        <w:rPr>
          <w:rFonts w:hint="eastAsia"/>
          <w:szCs w:val="21"/>
        </w:rPr>
        <w:t>±</w:t>
      </w:r>
      <w:r>
        <w:rPr>
          <w:szCs w:val="21"/>
        </w:rPr>
        <w:t>3</w:t>
      </w:r>
      <w:r>
        <w:rPr>
          <w:rFonts w:hint="eastAsia"/>
          <w:szCs w:val="21"/>
        </w:rPr>
        <w:t>）℃</w:t>
      </w:r>
      <w:r>
        <w:rPr>
          <w:rFonts w:hint="eastAsia" w:ascii="宋体" w:hAnsi="宋体"/>
          <w:szCs w:val="21"/>
        </w:rPr>
        <w:t>。由于动力电池的正常工作温度是</w:t>
      </w:r>
      <w:r>
        <w:rPr>
          <w:rFonts w:hint="eastAsia"/>
          <w:szCs w:val="21"/>
        </w:rPr>
        <w:t>40℃-60℃</w:t>
      </w:r>
      <w:r>
        <w:rPr>
          <w:rFonts w:hint="eastAsia" w:ascii="宋体" w:hAnsi="宋体"/>
          <w:szCs w:val="21"/>
        </w:rPr>
        <w:t>，因此本标准借鉴了</w:t>
      </w:r>
      <w:r>
        <w:rPr>
          <w:szCs w:val="21"/>
        </w:rPr>
        <w:t>ISO 19453.4-2018</w:t>
      </w:r>
      <w:r>
        <w:rPr>
          <w:rFonts w:hint="eastAsia"/>
          <w:szCs w:val="21"/>
        </w:rPr>
        <w:t>中湿热循环测试方法</w:t>
      </w:r>
      <w:r>
        <w:rPr>
          <w:rFonts w:hint="eastAsia" w:ascii="宋体" w:hAnsi="宋体"/>
          <w:szCs w:val="21"/>
        </w:rPr>
        <w:t>，同时将测试时最高温度为</w:t>
      </w:r>
      <w:r>
        <w:rPr>
          <w:szCs w:val="21"/>
        </w:rPr>
        <w:t>60</w:t>
      </w:r>
      <w:r>
        <w:rPr>
          <w:rFonts w:hint="eastAsia"/>
          <w:szCs w:val="21"/>
        </w:rPr>
        <w:t>±</w:t>
      </w:r>
      <w:r>
        <w:rPr>
          <w:szCs w:val="21"/>
        </w:rPr>
        <w:t>3</w:t>
      </w:r>
      <w:r>
        <w:rPr>
          <w:rFonts w:hint="eastAsia"/>
          <w:szCs w:val="21"/>
        </w:rPr>
        <w:t>℃</w:t>
      </w:r>
      <w:r>
        <w:rPr>
          <w:rFonts w:hint="eastAsia" w:ascii="宋体" w:hAnsi="宋体"/>
          <w:szCs w:val="21"/>
        </w:rPr>
        <w:t>或更高温度（如果制造商要求）。</w:t>
      </w:r>
    </w:p>
    <w:p>
      <w:pPr>
        <w:ind w:firstLine="560"/>
        <w:jc w:val="center"/>
      </w:pPr>
      <w:r>
        <w:rPr>
          <w:sz w:val="28"/>
          <w:szCs w:val="28"/>
        </w:rPr>
        <w:drawing>
          <wp:inline distT="0" distB="0" distL="114300" distR="114300">
            <wp:extent cx="2660650" cy="2870835"/>
            <wp:effectExtent l="0" t="0" r="6350" b="5715"/>
            <wp:docPr id="9" name="图片 9" descr="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228"/>
                    <pic:cNvPicPr>
                      <a:picLocks noChangeAspect="1"/>
                    </pic:cNvPicPr>
                  </pic:nvPicPr>
                  <pic:blipFill>
                    <a:blip r:embed="rId29"/>
                    <a:stretch>
                      <a:fillRect/>
                    </a:stretch>
                  </pic:blipFill>
                  <pic:spPr>
                    <a:xfrm>
                      <a:off x="0" y="0"/>
                      <a:ext cx="2666986" cy="2878171"/>
                    </a:xfrm>
                    <a:prstGeom prst="rect">
                      <a:avLst/>
                    </a:prstGeom>
                  </pic:spPr>
                </pic:pic>
              </a:graphicData>
            </a:graphic>
          </wp:inline>
        </w:drawing>
      </w:r>
    </w:p>
    <w:p>
      <w:pPr>
        <w:ind w:firstLine="560"/>
        <w:jc w:val="center"/>
        <w:rPr>
          <w:sz w:val="24"/>
          <w:szCs w:val="28"/>
        </w:rPr>
      </w:pPr>
      <w:r>
        <w:rPr>
          <w:rFonts w:hint="eastAsia"/>
          <w:sz w:val="20"/>
        </w:rPr>
        <w:t>图9：露水测试周期</w:t>
      </w:r>
      <w:r>
        <w:rPr>
          <w:rFonts w:hint="eastAsia" w:ascii="宋体" w:hAnsi="宋体"/>
          <w:sz w:val="20"/>
        </w:rPr>
        <w:t>浸水</w:t>
      </w:r>
    </w:p>
    <w:p>
      <w:pPr>
        <w:pStyle w:val="19"/>
        <w:numPr>
          <w:ilvl w:val="0"/>
          <w:numId w:val="9"/>
        </w:numPr>
        <w:spacing w:line="360" w:lineRule="auto"/>
        <w:ind w:left="0" w:firstLine="426"/>
        <w:rPr>
          <w:rFonts w:ascii="宋体" w:hAnsi="宋体"/>
        </w:rPr>
      </w:pPr>
      <w:r>
        <w:rPr>
          <w:rFonts w:hint="eastAsia" w:ascii="宋体" w:hAnsi="宋体"/>
        </w:rPr>
        <w:t>浸水测试的目的为了检测电池包的气密性和防水安全性。测试方法对比情况如表</w:t>
      </w:r>
      <w:r>
        <w:rPr>
          <w:rFonts w:ascii="宋体" w:hAnsi="宋体"/>
        </w:rPr>
        <w:t>24</w:t>
      </w:r>
      <w:r>
        <w:rPr>
          <w:rFonts w:hint="eastAsia" w:ascii="宋体" w:hAnsi="宋体"/>
        </w:rPr>
        <w:t>所示：</w:t>
      </w:r>
    </w:p>
    <w:p>
      <w:pPr>
        <w:spacing w:line="360" w:lineRule="auto"/>
        <w:ind w:firstLine="400"/>
        <w:jc w:val="center"/>
        <w:rPr>
          <w:sz w:val="20"/>
        </w:rPr>
      </w:pPr>
      <w:r>
        <w:rPr>
          <w:rFonts w:hint="eastAsia"/>
          <w:sz w:val="20"/>
        </w:rPr>
        <w:t>表</w:t>
      </w:r>
      <w:r>
        <w:rPr>
          <w:sz w:val="20"/>
        </w:rPr>
        <w:t>24</w:t>
      </w:r>
      <w:r>
        <w:rPr>
          <w:rFonts w:hint="eastAsia"/>
          <w:sz w:val="20"/>
        </w:rPr>
        <w:t>：电池包或系统浸水测试对比</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2187"/>
        <w:gridCol w:w="1747"/>
        <w:gridCol w:w="1747"/>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80" w:type="pct"/>
            <w:shd w:val="clear" w:color="auto" w:fill="auto"/>
            <w:vAlign w:val="center"/>
          </w:tcPr>
          <w:p>
            <w:pPr>
              <w:spacing w:line="276" w:lineRule="auto"/>
              <w:jc w:val="center"/>
              <w:rPr>
                <w:sz w:val="20"/>
                <w:szCs w:val="20"/>
              </w:rPr>
            </w:pPr>
            <w:r>
              <w:rPr>
                <w:rFonts w:hint="eastAsia"/>
                <w:sz w:val="20"/>
                <w:szCs w:val="20"/>
              </w:rPr>
              <w:t>标准</w:t>
            </w:r>
          </w:p>
        </w:tc>
        <w:tc>
          <w:tcPr>
            <w:tcW w:w="1283" w:type="pct"/>
            <w:shd w:val="clear" w:color="auto" w:fill="auto"/>
            <w:vAlign w:val="center"/>
          </w:tcPr>
          <w:p>
            <w:pPr>
              <w:spacing w:line="276" w:lineRule="auto"/>
              <w:jc w:val="center"/>
              <w:rPr>
                <w:sz w:val="20"/>
                <w:szCs w:val="20"/>
              </w:rPr>
            </w:pPr>
            <w:r>
              <w:rPr>
                <w:szCs w:val="21"/>
              </w:rPr>
              <w:t>GB 38031</w:t>
            </w:r>
            <w:r>
              <w:rPr>
                <w:rFonts w:hint="eastAsia"/>
                <w:szCs w:val="21"/>
                <w:lang w:eastAsia="zh-CN"/>
              </w:rPr>
              <w:t>—</w:t>
            </w:r>
            <w:r>
              <w:rPr>
                <w:szCs w:val="21"/>
              </w:rPr>
              <w:t>2020</w:t>
            </w:r>
          </w:p>
        </w:tc>
        <w:tc>
          <w:tcPr>
            <w:tcW w:w="1025" w:type="pct"/>
            <w:shd w:val="clear" w:color="auto" w:fill="auto"/>
            <w:vAlign w:val="center"/>
          </w:tcPr>
          <w:p>
            <w:pPr>
              <w:spacing w:line="276" w:lineRule="auto"/>
              <w:jc w:val="center"/>
              <w:rPr>
                <w:sz w:val="20"/>
                <w:szCs w:val="20"/>
              </w:rPr>
            </w:pPr>
            <w:r>
              <w:rPr>
                <w:sz w:val="20"/>
                <w:szCs w:val="20"/>
              </w:rPr>
              <w:t>ISO 6469-1:2019</w:t>
            </w:r>
          </w:p>
        </w:tc>
        <w:tc>
          <w:tcPr>
            <w:tcW w:w="1025" w:type="pct"/>
            <w:vAlign w:val="center"/>
          </w:tcPr>
          <w:p>
            <w:pPr>
              <w:spacing w:line="276" w:lineRule="auto"/>
              <w:jc w:val="center"/>
              <w:rPr>
                <w:sz w:val="20"/>
                <w:szCs w:val="20"/>
              </w:rPr>
            </w:pPr>
            <w:r>
              <w:rPr>
                <w:sz w:val="20"/>
                <w:szCs w:val="20"/>
              </w:rPr>
              <w:t>EVS GTR</w:t>
            </w:r>
          </w:p>
        </w:tc>
        <w:tc>
          <w:tcPr>
            <w:tcW w:w="987" w:type="pct"/>
            <w:vAlign w:val="center"/>
          </w:tcPr>
          <w:p>
            <w:pPr>
              <w:spacing w:line="276" w:lineRule="auto"/>
              <w:jc w:val="center"/>
              <w:rPr>
                <w:sz w:val="20"/>
                <w:szCs w:val="20"/>
              </w:rPr>
            </w:pPr>
            <w:r>
              <w:rPr>
                <w:sz w:val="20"/>
                <w:szCs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1" w:hRule="atLeast"/>
        </w:trPr>
        <w:tc>
          <w:tcPr>
            <w:tcW w:w="680" w:type="pct"/>
            <w:shd w:val="clear" w:color="auto" w:fill="auto"/>
            <w:vAlign w:val="center"/>
          </w:tcPr>
          <w:p>
            <w:pPr>
              <w:widowControl w:val="0"/>
              <w:spacing w:line="276" w:lineRule="auto"/>
              <w:jc w:val="center"/>
              <w:rPr>
                <w:sz w:val="20"/>
                <w:szCs w:val="20"/>
              </w:rPr>
            </w:pPr>
            <w:r>
              <w:rPr>
                <w:sz w:val="20"/>
                <w:szCs w:val="20"/>
              </w:rPr>
              <w:t>测试方法</w:t>
            </w:r>
          </w:p>
        </w:tc>
        <w:tc>
          <w:tcPr>
            <w:tcW w:w="1283" w:type="pct"/>
            <w:shd w:val="clear" w:color="auto" w:fill="auto"/>
            <w:vAlign w:val="center"/>
          </w:tcPr>
          <w:p>
            <w:pPr>
              <w:widowControl w:val="0"/>
              <w:spacing w:line="276" w:lineRule="auto"/>
              <w:jc w:val="both"/>
              <w:rPr>
                <w:sz w:val="20"/>
                <w:szCs w:val="20"/>
              </w:rPr>
            </w:pPr>
            <w:r>
              <w:rPr>
                <w:sz w:val="20"/>
                <w:szCs w:val="20"/>
              </w:rPr>
              <w:t>选择以下两种方式中的一种进行试验：</w:t>
            </w:r>
          </w:p>
          <w:p>
            <w:pPr>
              <w:widowControl w:val="0"/>
              <w:spacing w:line="276" w:lineRule="auto"/>
              <w:jc w:val="both"/>
              <w:rPr>
                <w:sz w:val="20"/>
                <w:szCs w:val="20"/>
              </w:rPr>
            </w:pPr>
            <w:r>
              <w:rPr>
                <w:sz w:val="20"/>
                <w:szCs w:val="20"/>
              </w:rPr>
              <w:t>方式一：试验对象以实车装配方向置于3.5%（质量分数）氯化钠溶液中2h，水深要足以淹没试验对象；</w:t>
            </w:r>
          </w:p>
          <w:p>
            <w:pPr>
              <w:widowControl w:val="0"/>
              <w:spacing w:line="276" w:lineRule="auto"/>
              <w:jc w:val="both"/>
              <w:rPr>
                <w:sz w:val="20"/>
                <w:szCs w:val="20"/>
              </w:rPr>
            </w:pPr>
            <w:r>
              <w:rPr>
                <w:rFonts w:hint="eastAsia"/>
                <w:sz w:val="20"/>
                <w:szCs w:val="20"/>
              </w:rPr>
              <w:t>方式二：试验对象按照GB/T 4208—2017中14.2.7所述方法和流程进行试验。试验对象按照制造商规定的安装状态全部浸</w:t>
            </w:r>
            <w:r>
              <w:rPr>
                <w:rFonts w:hint="eastAsia"/>
                <w:sz w:val="20"/>
                <w:szCs w:val="20"/>
                <w:lang w:val="en-US" w:eastAsia="zh-CN"/>
              </w:rPr>
              <w:t>入</w:t>
            </w:r>
            <w:r>
              <w:rPr>
                <w:rFonts w:hint="eastAsia"/>
                <w:sz w:val="20"/>
                <w:szCs w:val="20"/>
              </w:rPr>
              <w:t>水中。对于高度小于850 mm的试验对象，其最低点应低于水面1000 mm；对于高度等于或大于850 mm的试验对象，其最高点应低于水面150 mm。</w:t>
            </w:r>
          </w:p>
        </w:tc>
        <w:tc>
          <w:tcPr>
            <w:tcW w:w="1025" w:type="pct"/>
            <w:shd w:val="clear" w:color="auto" w:fill="auto"/>
            <w:noWrap/>
            <w:vAlign w:val="center"/>
          </w:tcPr>
          <w:p>
            <w:pPr>
              <w:widowControl w:val="0"/>
              <w:spacing w:line="276" w:lineRule="auto"/>
              <w:jc w:val="both"/>
              <w:rPr>
                <w:sz w:val="20"/>
                <w:szCs w:val="20"/>
              </w:rPr>
            </w:pPr>
            <w:r>
              <w:rPr>
                <w:sz w:val="20"/>
                <w:szCs w:val="20"/>
              </w:rPr>
              <w:t>将测试对象浸入环境温度盐水（3.5%-5%（重量百分比）NaCl在H</w:t>
            </w:r>
            <w:r>
              <w:rPr>
                <w:sz w:val="20"/>
                <w:szCs w:val="20"/>
                <w:vertAlign w:val="subscript"/>
              </w:rPr>
              <w:t>2</w:t>
            </w:r>
            <w:r>
              <w:rPr>
                <w:sz w:val="20"/>
                <w:szCs w:val="20"/>
              </w:rPr>
              <w:t>O中）中2小时。如果定义了水深w，则将测试对象浸入指定水深w的深度，与安装在车辆上的RESS的深度相同。如果未定义水深w，则浸入深度应为1米（外壳最深位置）或外壳最高位置以上0.15米（如果外壳大于 0.85 米）。</w:t>
            </w:r>
          </w:p>
        </w:tc>
        <w:tc>
          <w:tcPr>
            <w:tcW w:w="1025" w:type="pct"/>
            <w:vAlign w:val="center"/>
          </w:tcPr>
          <w:p>
            <w:pPr>
              <w:widowControl w:val="0"/>
              <w:spacing w:line="276" w:lineRule="auto"/>
              <w:jc w:val="both"/>
              <w:rPr>
                <w:sz w:val="20"/>
                <w:szCs w:val="20"/>
              </w:rPr>
            </w:pPr>
            <w:r>
              <w:rPr>
                <w:sz w:val="20"/>
                <w:szCs w:val="20"/>
              </w:rPr>
              <w:t>试验对象按照GB/T 4208—2017中14.2.7所述方法和流程进行试验。试验对象按照制造商规定的安装状态全部浸</w:t>
            </w:r>
            <w:r>
              <w:rPr>
                <w:rFonts w:hint="eastAsia"/>
                <w:sz w:val="20"/>
                <w:szCs w:val="20"/>
                <w:lang w:val="en-US" w:eastAsia="zh-CN"/>
              </w:rPr>
              <w:t>入</w:t>
            </w:r>
            <w:r>
              <w:rPr>
                <w:sz w:val="20"/>
                <w:szCs w:val="20"/>
              </w:rPr>
              <w:t>水中。对于高度小于850 mm的试验对象，其最低点应低于水面1000 mm；对于高度等于或大于850 mm的试验对象，其最高点应低于水面150 mm。</w:t>
            </w:r>
          </w:p>
        </w:tc>
        <w:tc>
          <w:tcPr>
            <w:tcW w:w="987" w:type="pct"/>
            <w:vAlign w:val="center"/>
          </w:tcPr>
          <w:p>
            <w:pPr>
              <w:widowControl w:val="0"/>
              <w:spacing w:line="276" w:lineRule="auto"/>
              <w:jc w:val="both"/>
              <w:rPr>
                <w:sz w:val="20"/>
                <w:szCs w:val="20"/>
              </w:rPr>
            </w:pPr>
            <w:r>
              <w:rPr>
                <w:sz w:val="20"/>
                <w:szCs w:val="20"/>
              </w:rPr>
              <w:t>试验对象按照GB/T 4208—2017中14.2.7所述方法和流程进行试验。试验对象按照制造商规定的安装状态全部浸人水中。对于高度小于850 mm的试验对象，其最低点应低于水面1000 mm；对于高度等于或大于850 mm的试验对象，其最高点应低于水面150 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680" w:type="pct"/>
            <w:shd w:val="clear" w:color="auto" w:fill="auto"/>
            <w:vAlign w:val="center"/>
          </w:tcPr>
          <w:p>
            <w:pPr>
              <w:widowControl w:val="0"/>
              <w:spacing w:line="276" w:lineRule="auto"/>
              <w:jc w:val="center"/>
              <w:rPr>
                <w:sz w:val="20"/>
                <w:szCs w:val="20"/>
              </w:rPr>
            </w:pPr>
            <w:r>
              <w:rPr>
                <w:sz w:val="20"/>
                <w:szCs w:val="20"/>
              </w:rPr>
              <w:t>氯化钠溶液浓度</w:t>
            </w:r>
          </w:p>
        </w:tc>
        <w:tc>
          <w:tcPr>
            <w:tcW w:w="1283" w:type="pct"/>
            <w:shd w:val="clear" w:color="auto" w:fill="auto"/>
            <w:vAlign w:val="center"/>
          </w:tcPr>
          <w:p>
            <w:pPr>
              <w:widowControl w:val="0"/>
              <w:spacing w:line="276" w:lineRule="auto"/>
              <w:jc w:val="both"/>
              <w:rPr>
                <w:sz w:val="20"/>
                <w:szCs w:val="20"/>
              </w:rPr>
            </w:pPr>
            <w:r>
              <w:rPr>
                <w:sz w:val="20"/>
                <w:szCs w:val="20"/>
              </w:rPr>
              <w:t>3.5%</w:t>
            </w:r>
          </w:p>
        </w:tc>
        <w:tc>
          <w:tcPr>
            <w:tcW w:w="1025" w:type="pct"/>
            <w:shd w:val="clear" w:color="auto" w:fill="auto"/>
            <w:noWrap/>
            <w:vAlign w:val="center"/>
          </w:tcPr>
          <w:p>
            <w:pPr>
              <w:widowControl w:val="0"/>
              <w:spacing w:line="276" w:lineRule="auto"/>
              <w:jc w:val="both"/>
              <w:rPr>
                <w:sz w:val="20"/>
                <w:szCs w:val="20"/>
              </w:rPr>
            </w:pPr>
            <w:r>
              <w:rPr>
                <w:sz w:val="20"/>
                <w:szCs w:val="20"/>
              </w:rPr>
              <w:t>3.5%-5%</w:t>
            </w:r>
          </w:p>
        </w:tc>
        <w:tc>
          <w:tcPr>
            <w:tcW w:w="1025" w:type="pct"/>
            <w:vAlign w:val="center"/>
          </w:tcPr>
          <w:p>
            <w:pPr>
              <w:widowControl w:val="0"/>
              <w:spacing w:line="276" w:lineRule="auto"/>
              <w:jc w:val="both"/>
              <w:rPr>
                <w:sz w:val="20"/>
                <w:szCs w:val="20"/>
              </w:rPr>
            </w:pPr>
            <w:r>
              <w:rPr>
                <w:sz w:val="20"/>
                <w:szCs w:val="20"/>
              </w:rPr>
              <w:t>/</w:t>
            </w:r>
          </w:p>
        </w:tc>
        <w:tc>
          <w:tcPr>
            <w:tcW w:w="987" w:type="pct"/>
            <w:vAlign w:val="center"/>
          </w:tcPr>
          <w:p>
            <w:pPr>
              <w:widowControl w:val="0"/>
              <w:spacing w:line="276" w:lineRule="auto"/>
              <w:jc w:val="both"/>
              <w:rPr>
                <w:sz w:val="20"/>
                <w:szCs w:val="20"/>
              </w:rPr>
            </w:pPr>
            <w:r>
              <w:rPr>
                <w:sz w:val="20"/>
                <w:szCs w:val="20"/>
              </w:rPr>
              <w:t>/</w:t>
            </w:r>
          </w:p>
        </w:tc>
      </w:tr>
    </w:tbl>
    <w:p>
      <w:pPr>
        <w:spacing w:line="360" w:lineRule="auto"/>
        <w:ind w:firstLine="420"/>
        <w:rPr>
          <w:rFonts w:ascii="宋体" w:hAnsi="宋体"/>
        </w:rPr>
      </w:pPr>
      <w:r>
        <w:rPr>
          <w:rFonts w:hint="eastAsia" w:ascii="宋体" w:hAnsi="宋体"/>
        </w:rPr>
        <w:t>浸水测试的目的为了检测电池包的气密性和防水安全性，海水浸泡主要用于评估海水侵入条件下的电池包或系统的安全，而浸水</w:t>
      </w:r>
      <w:r>
        <w:rPr>
          <w:rFonts w:hint="eastAsia"/>
          <w:sz w:val="20"/>
          <w:szCs w:val="20"/>
        </w:rPr>
        <w:t>（I</w:t>
      </w:r>
      <w:r>
        <w:rPr>
          <w:sz w:val="20"/>
          <w:szCs w:val="20"/>
        </w:rPr>
        <w:t>PX7</w:t>
      </w:r>
      <w:r>
        <w:rPr>
          <w:rFonts w:hint="eastAsia"/>
          <w:sz w:val="20"/>
          <w:szCs w:val="20"/>
        </w:rPr>
        <w:t>）</w:t>
      </w:r>
      <w:r>
        <w:rPr>
          <w:rFonts w:hint="eastAsia" w:ascii="宋体" w:hAnsi="宋体"/>
        </w:rPr>
        <w:t>则评估电池包或系统的防水性能，不允许任何液体进入电池包内部，当前国标测试要求能够覆盖国际标准，因此维持现有标准不变。</w:t>
      </w:r>
    </w:p>
    <w:p>
      <w:pPr>
        <w:pStyle w:val="19"/>
        <w:numPr>
          <w:ilvl w:val="0"/>
          <w:numId w:val="9"/>
        </w:numPr>
        <w:spacing w:line="360" w:lineRule="auto"/>
        <w:ind w:left="0" w:firstLine="426"/>
        <w:rPr>
          <w:rFonts w:ascii="宋体" w:hAnsi="宋体"/>
        </w:rPr>
      </w:pPr>
      <w:r>
        <w:rPr>
          <w:rFonts w:hint="eastAsia" w:ascii="宋体" w:hAnsi="宋体"/>
        </w:rPr>
        <w:t>火烧测试: 火烧测试的目的是模拟车上的电池包或电池系统因车辆（车辆本身或附近车辆）的燃油泄漏等原因而暴露在车外的火灾中。这种情况应该给驾驶员和乘客留出足够的时间进行疏散。测试方法对比情况如表</w:t>
      </w:r>
      <w:r>
        <w:rPr>
          <w:rFonts w:hint="eastAsia"/>
          <w:sz w:val="20"/>
        </w:rPr>
        <w:t>2</w:t>
      </w:r>
      <w:r>
        <w:rPr>
          <w:sz w:val="20"/>
        </w:rPr>
        <w:t>5</w:t>
      </w:r>
      <w:r>
        <w:rPr>
          <w:rFonts w:hint="eastAsia" w:ascii="宋体" w:hAnsi="宋体"/>
        </w:rPr>
        <w:t>所示：</w:t>
      </w:r>
    </w:p>
    <w:p>
      <w:pPr>
        <w:spacing w:line="360" w:lineRule="auto"/>
        <w:ind w:firstLine="400"/>
        <w:jc w:val="center"/>
        <w:rPr>
          <w:sz w:val="20"/>
        </w:rPr>
      </w:pPr>
      <w:r>
        <w:rPr>
          <w:rFonts w:hint="eastAsia"/>
          <w:sz w:val="20"/>
        </w:rPr>
        <w:t>表</w:t>
      </w:r>
      <w:r>
        <w:rPr>
          <w:sz w:val="20"/>
        </w:rPr>
        <w:t>25</w:t>
      </w:r>
      <w:r>
        <w:rPr>
          <w:rFonts w:hint="eastAsia"/>
          <w:sz w:val="20"/>
        </w:rPr>
        <w:t>：电池包或系统火烧试验</w:t>
      </w:r>
      <w:r>
        <w:rPr>
          <w:sz w:val="20"/>
        </w:rPr>
        <w:t>测试对比</w:t>
      </w:r>
    </w:p>
    <w:tbl>
      <w:tblPr>
        <w:tblStyle w:val="9"/>
        <w:tblW w:w="829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38"/>
        <w:gridCol w:w="2359"/>
        <w:gridCol w:w="2127"/>
        <w:gridCol w:w="1417"/>
        <w:gridCol w:w="135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rFonts w:hint="eastAsia"/>
                <w:sz w:val="20"/>
                <w:szCs w:val="20"/>
              </w:rPr>
              <w:t>标准</w:t>
            </w:r>
          </w:p>
        </w:tc>
        <w:tc>
          <w:tcPr>
            <w:tcW w:w="235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szCs w:val="21"/>
              </w:rPr>
              <w:t>GB 38031</w:t>
            </w:r>
            <w:r>
              <w:rPr>
                <w:rFonts w:hint="eastAsia"/>
                <w:szCs w:val="21"/>
                <w:lang w:eastAsia="zh-CN"/>
              </w:rPr>
              <w:t>—</w:t>
            </w:r>
            <w:r>
              <w:rPr>
                <w:szCs w:val="21"/>
              </w:rPr>
              <w:t>2020</w:t>
            </w:r>
          </w:p>
        </w:tc>
        <w:tc>
          <w:tcPr>
            <w:tcW w:w="212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sz w:val="20"/>
                <w:szCs w:val="20"/>
              </w:rPr>
              <w:t>ISO 6469-1:2019</w:t>
            </w:r>
          </w:p>
        </w:tc>
        <w:tc>
          <w:tcPr>
            <w:tcW w:w="141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sz w:val="20"/>
                <w:szCs w:val="20"/>
              </w:rPr>
              <w:t>EVS-GTR</w:t>
            </w:r>
          </w:p>
        </w:tc>
        <w:tc>
          <w:tcPr>
            <w:tcW w:w="135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sz w:val="20"/>
                <w:szCs w:val="20"/>
              </w:rPr>
              <w:t>UN R100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sz w:val="20"/>
                <w:szCs w:val="20"/>
              </w:rPr>
              <w:t>SOC状态</w:t>
            </w:r>
          </w:p>
        </w:tc>
        <w:tc>
          <w:tcPr>
            <w:tcW w:w="2359"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rPr>
                <w:sz w:val="20"/>
                <w:szCs w:val="20"/>
              </w:rPr>
            </w:pPr>
            <w:r>
              <w:rPr>
                <w:rFonts w:hint="eastAsia"/>
                <w:sz w:val="20"/>
                <w:szCs w:val="20"/>
              </w:rPr>
              <w:t>完全充电状态</w:t>
            </w:r>
          </w:p>
        </w:tc>
        <w:tc>
          <w:tcPr>
            <w:tcW w:w="2127"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rPr>
                <w:sz w:val="20"/>
                <w:szCs w:val="20"/>
              </w:rPr>
            </w:pPr>
            <w:r>
              <w:rPr>
                <w:rFonts w:hint="eastAsia"/>
                <w:sz w:val="20"/>
                <w:szCs w:val="20"/>
              </w:rPr>
              <w:t>最高使用SOC</w:t>
            </w:r>
          </w:p>
        </w:tc>
        <w:tc>
          <w:tcPr>
            <w:tcW w:w="2772"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276" w:lineRule="auto"/>
              <w:rPr>
                <w:sz w:val="20"/>
                <w:szCs w:val="20"/>
              </w:rPr>
            </w:pPr>
            <w:r>
              <w:rPr>
                <w:rFonts w:hint="eastAsia"/>
                <w:sz w:val="20"/>
                <w:szCs w:val="20"/>
              </w:rPr>
              <w:t>最高使用SOC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sz w:val="20"/>
                <w:szCs w:val="20"/>
              </w:rPr>
              <w:t>试验方法</w:t>
            </w:r>
          </w:p>
        </w:tc>
        <w:tc>
          <w:tcPr>
            <w:tcW w:w="4486" w:type="dxa"/>
            <w:gridSpan w:val="2"/>
            <w:tcBorders>
              <w:top w:val="single" w:color="auto" w:sz="4" w:space="0"/>
              <w:left w:val="single" w:color="auto" w:sz="4" w:space="0"/>
              <w:bottom w:val="single" w:color="auto" w:sz="4" w:space="0"/>
            </w:tcBorders>
            <w:vAlign w:val="center"/>
          </w:tcPr>
          <w:p>
            <w:pPr>
              <w:widowControl w:val="0"/>
              <w:spacing w:line="276" w:lineRule="auto"/>
              <w:rPr>
                <w:sz w:val="20"/>
                <w:szCs w:val="20"/>
              </w:rPr>
            </w:pPr>
            <w:r>
              <w:rPr>
                <w:sz w:val="20"/>
                <w:szCs w:val="20"/>
              </w:rPr>
              <w:t>试验温度＞0℃，风速≤ 2.5 km/h。</w:t>
            </w:r>
          </w:p>
          <w:p>
            <w:pPr>
              <w:widowControl w:val="0"/>
              <w:spacing w:line="276" w:lineRule="auto"/>
              <w:rPr>
                <w:sz w:val="20"/>
                <w:szCs w:val="20"/>
              </w:rPr>
            </w:pPr>
            <w:r>
              <w:rPr>
                <w:sz w:val="20"/>
                <w:szCs w:val="20"/>
              </w:rPr>
              <w:t>油盘要求：20cm＜油盘尺寸-测试对象水平尺寸≤50cm；油盘-汽油表面≤8cm；汽油表面距测试对象底面50cm，或其空载时距地面距离；油盘底层注水；</w:t>
            </w:r>
          </w:p>
          <w:p>
            <w:pPr>
              <w:widowControl w:val="0"/>
              <w:spacing w:line="276" w:lineRule="auto"/>
              <w:rPr>
                <w:sz w:val="20"/>
                <w:szCs w:val="20"/>
              </w:rPr>
            </w:pPr>
            <w:r>
              <w:rPr>
                <w:sz w:val="20"/>
                <w:szCs w:val="20"/>
              </w:rPr>
              <w:t>A阶段：≥3m远处点燃汽油，预热60s；</w:t>
            </w:r>
          </w:p>
          <w:p>
            <w:pPr>
              <w:widowControl w:val="0"/>
              <w:spacing w:line="276" w:lineRule="auto"/>
              <w:rPr>
                <w:sz w:val="20"/>
                <w:szCs w:val="20"/>
              </w:rPr>
            </w:pPr>
            <w:r>
              <w:rPr>
                <w:sz w:val="20"/>
                <w:szCs w:val="20"/>
              </w:rPr>
              <w:t>B阶段：测试对象在火焰下暴露70s；</w:t>
            </w:r>
          </w:p>
          <w:p>
            <w:pPr>
              <w:widowControl w:val="0"/>
              <w:spacing w:line="276" w:lineRule="auto"/>
              <w:rPr>
                <w:sz w:val="20"/>
                <w:szCs w:val="20"/>
              </w:rPr>
            </w:pPr>
            <w:r>
              <w:rPr>
                <w:sz w:val="20"/>
                <w:szCs w:val="20"/>
              </w:rPr>
              <w:t>C阶段：测试对象在盖有耐火隔板的火焰下暴露60s，或在火焰下暴露60s，移走油盘；</w:t>
            </w:r>
          </w:p>
          <w:p>
            <w:pPr>
              <w:widowControl w:val="0"/>
              <w:spacing w:line="276" w:lineRule="auto"/>
              <w:rPr>
                <w:sz w:val="20"/>
                <w:szCs w:val="20"/>
              </w:rPr>
            </w:pPr>
            <w:r>
              <w:rPr>
                <w:sz w:val="20"/>
                <w:szCs w:val="20"/>
              </w:rPr>
              <w:t>D阶段：室温下观察2h或试验对象外表温度降至 45℃ 以下。</w:t>
            </w:r>
          </w:p>
        </w:tc>
        <w:tc>
          <w:tcPr>
            <w:tcW w:w="2772" w:type="dxa"/>
            <w:gridSpan w:val="2"/>
            <w:vAlign w:val="center"/>
          </w:tcPr>
          <w:p>
            <w:pPr>
              <w:widowControl w:val="0"/>
              <w:spacing w:line="276" w:lineRule="auto"/>
              <w:rPr>
                <w:sz w:val="20"/>
                <w:szCs w:val="20"/>
              </w:rPr>
            </w:pPr>
            <w:r>
              <w:rPr>
                <w:sz w:val="20"/>
                <w:szCs w:val="20"/>
              </w:rPr>
              <w:t>其余流程一致。若燃料温度＞20℃，不需要A阶段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sz w:val="20"/>
                <w:szCs w:val="20"/>
              </w:rPr>
              <w:t>通过要求</w:t>
            </w:r>
          </w:p>
        </w:tc>
        <w:tc>
          <w:tcPr>
            <w:tcW w:w="7258" w:type="dxa"/>
            <w:gridSpan w:val="4"/>
            <w:tcBorders>
              <w:top w:val="single" w:color="auto" w:sz="4" w:space="0"/>
              <w:left w:val="single" w:color="auto" w:sz="4" w:space="0"/>
              <w:bottom w:val="single" w:color="auto" w:sz="4" w:space="0"/>
            </w:tcBorders>
            <w:vAlign w:val="center"/>
          </w:tcPr>
          <w:p>
            <w:pPr>
              <w:widowControl w:val="0"/>
              <w:spacing w:line="276" w:lineRule="auto"/>
              <w:rPr>
                <w:sz w:val="20"/>
                <w:szCs w:val="20"/>
              </w:rPr>
            </w:pPr>
            <w:r>
              <w:rPr>
                <w:sz w:val="20"/>
                <w:szCs w:val="20"/>
              </w:rPr>
              <w:t>不爆炸</w:t>
            </w:r>
          </w:p>
        </w:tc>
      </w:tr>
    </w:tbl>
    <w:p>
      <w:pPr>
        <w:spacing w:line="360" w:lineRule="auto"/>
        <w:ind w:firstLine="420"/>
        <w:jc w:val="both"/>
        <w:rPr>
          <w:rFonts w:ascii="宋体" w:hAnsi="宋体"/>
          <w:szCs w:val="21"/>
        </w:rPr>
      </w:pPr>
      <w:r>
        <w:rPr>
          <w:rFonts w:hint="eastAsia" w:ascii="宋体" w:hAnsi="宋体"/>
          <w:szCs w:val="21"/>
        </w:rPr>
        <w:t>分析：</w:t>
      </w:r>
      <w:r>
        <w:rPr>
          <w:szCs w:val="21"/>
        </w:rPr>
        <w:t>GB 38031</w:t>
      </w:r>
      <w:r>
        <w:rPr>
          <w:rFonts w:ascii="宋体" w:hAnsi="宋体"/>
          <w:szCs w:val="21"/>
        </w:rPr>
        <w:t>中外部火烧的测试步骤和判定标准与国际标准</w:t>
      </w:r>
      <w:r>
        <w:rPr>
          <w:rFonts w:hint="eastAsia" w:ascii="宋体" w:hAnsi="宋体"/>
          <w:szCs w:val="21"/>
        </w:rPr>
        <w:t>充分协调，因此维持现行标准内容不变。</w:t>
      </w:r>
    </w:p>
    <w:p>
      <w:pPr>
        <w:pStyle w:val="19"/>
        <w:numPr>
          <w:ilvl w:val="0"/>
          <w:numId w:val="10"/>
        </w:numPr>
        <w:spacing w:line="360" w:lineRule="auto"/>
        <w:jc w:val="both"/>
        <w:rPr>
          <w:rFonts w:ascii="宋体" w:hAnsi="宋体"/>
        </w:rPr>
      </w:pPr>
      <w:r>
        <w:rPr>
          <w:rFonts w:hint="eastAsia" w:ascii="宋体" w:hAnsi="宋体"/>
        </w:rPr>
        <w:t>热扩散测试</w:t>
      </w:r>
    </w:p>
    <w:p>
      <w:pPr>
        <w:spacing w:line="360" w:lineRule="auto"/>
        <w:ind w:firstLine="420"/>
        <w:jc w:val="both"/>
        <w:rPr>
          <w:rFonts w:ascii="宋体" w:hAnsi="宋体"/>
          <w:szCs w:val="21"/>
        </w:rPr>
      </w:pPr>
      <w:r>
        <w:rPr>
          <w:rFonts w:ascii="宋体" w:hAnsi="宋体"/>
          <w:szCs w:val="21"/>
        </w:rPr>
        <w:t>热扩散测试是用于评估电池包或系统由于单个电池内部短路导致热失控</w:t>
      </w:r>
      <w:r>
        <w:rPr>
          <w:rFonts w:hint="eastAsia" w:ascii="宋体" w:hAnsi="宋体"/>
          <w:szCs w:val="21"/>
        </w:rPr>
        <w:t>后电池系统安全防护水平</w:t>
      </w:r>
      <w:r>
        <w:rPr>
          <w:rFonts w:ascii="宋体" w:hAnsi="宋体"/>
          <w:szCs w:val="21"/>
        </w:rPr>
        <w:t>。</w:t>
      </w:r>
      <w:r>
        <w:rPr>
          <w:szCs w:val="21"/>
        </w:rPr>
        <w:t>GB 38031</w:t>
      </w:r>
      <w:r>
        <w:rPr>
          <w:rFonts w:hint="eastAsia"/>
          <w:szCs w:val="21"/>
          <w:lang w:eastAsia="zh-CN"/>
        </w:rPr>
        <w:t>—</w:t>
      </w:r>
      <w:r>
        <w:rPr>
          <w:szCs w:val="21"/>
        </w:rPr>
        <w:t>2020、EVS GTR、UN R100、ISO 6469-1 AMD: 2022</w:t>
      </w:r>
      <w:r>
        <w:rPr>
          <w:rFonts w:ascii="宋体" w:hAnsi="宋体"/>
          <w:szCs w:val="21"/>
        </w:rPr>
        <w:t>对热失控及热扩散测试方法及判定条件均作了详细说明。</w:t>
      </w:r>
    </w:p>
    <w:p>
      <w:pPr>
        <w:spacing w:line="360" w:lineRule="auto"/>
        <w:ind w:firstLine="420"/>
        <w:jc w:val="both"/>
        <w:rPr>
          <w:rFonts w:ascii="宋体" w:hAnsi="宋体"/>
          <w:szCs w:val="21"/>
        </w:rPr>
      </w:pPr>
      <w:r>
        <w:rPr>
          <w:szCs w:val="21"/>
        </w:rPr>
        <w:t>a）</w:t>
      </w:r>
      <w:r>
        <w:rPr>
          <w:rFonts w:ascii="宋体" w:hAnsi="宋体"/>
          <w:szCs w:val="21"/>
        </w:rPr>
        <w:t>试验对象：</w:t>
      </w:r>
      <w:r>
        <w:rPr>
          <w:szCs w:val="21"/>
        </w:rPr>
        <w:t>GB 38031</w:t>
      </w:r>
      <w:r>
        <w:rPr>
          <w:rFonts w:hint="eastAsia"/>
          <w:szCs w:val="21"/>
          <w:lang w:eastAsia="zh-CN"/>
        </w:rPr>
        <w:t>—</w:t>
      </w:r>
      <w:r>
        <w:rPr>
          <w:szCs w:val="21"/>
        </w:rPr>
        <w:t>2020、EVS-GTR、UN R100、ISO6469-1 AMD: 2022</w:t>
      </w:r>
      <w:r>
        <w:rPr>
          <w:rFonts w:ascii="宋体" w:hAnsi="宋体"/>
          <w:szCs w:val="21"/>
        </w:rPr>
        <w:t>均规定试验对象可以为整车或电池包或系统；目前</w:t>
      </w:r>
      <w:r>
        <w:rPr>
          <w:szCs w:val="21"/>
        </w:rPr>
        <w:t>UN R100</w:t>
      </w:r>
      <w:r>
        <w:rPr>
          <w:rFonts w:ascii="宋体" w:hAnsi="宋体"/>
          <w:szCs w:val="21"/>
        </w:rPr>
        <w:t>及</w:t>
      </w:r>
      <w:r>
        <w:rPr>
          <w:szCs w:val="21"/>
        </w:rPr>
        <w:t>ISO 6469-1 AMD: 2022</w:t>
      </w:r>
      <w:r>
        <w:rPr>
          <w:rFonts w:ascii="宋体" w:hAnsi="宋体"/>
          <w:szCs w:val="21"/>
        </w:rPr>
        <w:t>对于整车层级的试验程序均有详细描述，</w:t>
      </w:r>
      <w:r>
        <w:rPr>
          <w:rFonts w:hint="eastAsia" w:ascii="宋体" w:hAnsi="宋体"/>
          <w:szCs w:val="21"/>
        </w:rPr>
        <w:t>因此</w:t>
      </w:r>
      <w:r>
        <w:rPr>
          <w:szCs w:val="21"/>
        </w:rPr>
        <w:t>GB 38031</w:t>
      </w:r>
      <w:r>
        <w:rPr>
          <w:rFonts w:ascii="宋体" w:hAnsi="宋体"/>
          <w:szCs w:val="21"/>
        </w:rPr>
        <w:t>与上述标准保持协调，</w:t>
      </w:r>
      <w:r>
        <w:rPr>
          <w:rFonts w:hint="eastAsia" w:ascii="宋体" w:hAnsi="宋体"/>
          <w:szCs w:val="21"/>
        </w:rPr>
        <w:t>在附录</w:t>
      </w:r>
      <w:r>
        <w:rPr>
          <w:rFonts w:hint="eastAsia"/>
          <w:szCs w:val="21"/>
        </w:rPr>
        <w:t>C</w:t>
      </w:r>
      <w:r>
        <w:rPr>
          <w:rFonts w:hint="eastAsia" w:ascii="宋体" w:hAnsi="宋体"/>
          <w:szCs w:val="21"/>
        </w:rPr>
        <w:t>中</w:t>
      </w:r>
      <w:r>
        <w:rPr>
          <w:rFonts w:ascii="宋体" w:hAnsi="宋体"/>
          <w:szCs w:val="21"/>
        </w:rPr>
        <w:t>补充整车层级试验程序说明。</w:t>
      </w:r>
    </w:p>
    <w:p>
      <w:pPr>
        <w:spacing w:line="360" w:lineRule="auto"/>
        <w:ind w:firstLine="420"/>
        <w:jc w:val="both"/>
        <w:rPr>
          <w:rFonts w:ascii="宋体" w:hAnsi="宋体"/>
          <w:szCs w:val="21"/>
        </w:rPr>
      </w:pPr>
      <w:r>
        <w:rPr>
          <w:szCs w:val="21"/>
        </w:rPr>
        <w:t>b）</w:t>
      </w:r>
      <w:r>
        <w:rPr>
          <w:rFonts w:ascii="宋体" w:hAnsi="宋体"/>
          <w:szCs w:val="21"/>
        </w:rPr>
        <w:t>触发位置：在实际失效场景中，电池热失控可能发生在电池包内的任何位置，因此上述标准中均未明确限定具体触发位置；触发位置选择可由制造商确定，应考虑热扩散性能最恶劣的场景。</w:t>
      </w:r>
      <w:r>
        <w:rPr>
          <w:rFonts w:hint="eastAsia"/>
          <w:szCs w:val="21"/>
        </w:rPr>
        <w:t>EVS</w:t>
      </w:r>
      <w:r>
        <w:rPr>
          <w:szCs w:val="21"/>
        </w:rPr>
        <w:t>-</w:t>
      </w:r>
      <w:r>
        <w:rPr>
          <w:rFonts w:hint="eastAsia"/>
          <w:szCs w:val="21"/>
        </w:rPr>
        <w:t>GTR</w:t>
      </w:r>
      <w:r>
        <w:rPr>
          <w:rFonts w:ascii="宋体" w:hAnsi="宋体"/>
          <w:szCs w:val="21"/>
        </w:rPr>
        <w:t>提到应考虑热失控后产生的能量更容易传递给相邻电芯，如在电池包内靠近中心位置，或者被其他电池单体包围的位</w:t>
      </w:r>
      <w:r>
        <w:rPr>
          <w:szCs w:val="21"/>
        </w:rPr>
        <w:t>置，GB 38031</w:t>
      </w:r>
      <w:r>
        <w:rPr>
          <w:rFonts w:hint="eastAsia"/>
          <w:szCs w:val="21"/>
          <w:lang w:eastAsia="zh-CN"/>
        </w:rPr>
        <w:t>—</w:t>
      </w:r>
      <w:r>
        <w:rPr>
          <w:szCs w:val="21"/>
        </w:rPr>
        <w:t>2020</w:t>
      </w:r>
      <w:r>
        <w:rPr>
          <w:rFonts w:hint="eastAsia"/>
          <w:szCs w:val="21"/>
        </w:rPr>
        <w:t>中的规定与</w:t>
      </w:r>
      <w:r>
        <w:rPr>
          <w:szCs w:val="21"/>
        </w:rPr>
        <w:t>GTR 20</w:t>
      </w:r>
      <w:r>
        <w:rPr>
          <w:rFonts w:hint="eastAsia" w:ascii="宋体" w:hAnsi="宋体"/>
          <w:szCs w:val="21"/>
        </w:rPr>
        <w:t>协调一致</w:t>
      </w:r>
      <w:r>
        <w:rPr>
          <w:rFonts w:ascii="宋体" w:hAnsi="宋体"/>
          <w:szCs w:val="21"/>
        </w:rPr>
        <w:t>；</w:t>
      </w:r>
      <w:r>
        <w:rPr>
          <w:szCs w:val="21"/>
        </w:rPr>
        <w:t>ISO 6469-1AMD: 2022</w:t>
      </w:r>
      <w:r>
        <w:rPr>
          <w:rFonts w:ascii="宋体" w:hAnsi="宋体"/>
          <w:szCs w:val="21"/>
        </w:rPr>
        <w:t>中对热扩散性能最恶劣的情况做了</w:t>
      </w:r>
      <w:r>
        <w:rPr>
          <w:rFonts w:hint="eastAsia" w:ascii="宋体" w:hAnsi="宋体"/>
          <w:szCs w:val="21"/>
        </w:rPr>
        <w:t>更多的</w:t>
      </w:r>
      <w:r>
        <w:rPr>
          <w:rFonts w:ascii="宋体" w:hAnsi="宋体"/>
          <w:szCs w:val="21"/>
        </w:rPr>
        <w:t>考量，提出应根据触发电池与其他电池及冷却系统的热交换、电池隔热、电连接、排气通道等设计因素以及触发方法进行明确。</w:t>
      </w:r>
      <w:r>
        <w:rPr>
          <w:rFonts w:hint="eastAsia" w:ascii="宋体" w:hAnsi="宋体"/>
          <w:szCs w:val="21"/>
        </w:rPr>
        <w:t>但考虑到电池热扩散性能的影响因子较多，若从不同考量维度来选取触发电芯，受主观认知影响较大，依然会存在较大差异。因此在修订征求意见稿中维持原文不变。</w:t>
      </w:r>
    </w:p>
    <w:p>
      <w:pPr>
        <w:spacing w:line="360" w:lineRule="auto"/>
        <w:ind w:firstLine="420"/>
        <w:jc w:val="both"/>
        <w:rPr>
          <w:rFonts w:ascii="宋体" w:hAnsi="宋体"/>
          <w:szCs w:val="21"/>
        </w:rPr>
      </w:pPr>
      <w:r>
        <w:rPr>
          <w:szCs w:val="21"/>
        </w:rPr>
        <w:t>c）</w:t>
      </w:r>
      <w:r>
        <w:rPr>
          <w:rFonts w:ascii="宋体" w:hAnsi="宋体"/>
          <w:szCs w:val="21"/>
        </w:rPr>
        <w:t>热失控判定条件：判定条件对比如下表。现行</w:t>
      </w:r>
      <w:r>
        <w:rPr>
          <w:szCs w:val="21"/>
        </w:rPr>
        <w:t>GB 38031</w:t>
      </w:r>
      <w:r>
        <w:rPr>
          <w:rFonts w:hint="eastAsia"/>
          <w:szCs w:val="21"/>
          <w:lang w:eastAsia="zh-CN"/>
        </w:rPr>
        <w:t>—</w:t>
      </w:r>
      <w:r>
        <w:rPr>
          <w:szCs w:val="21"/>
        </w:rPr>
        <w:t>202</w:t>
      </w:r>
      <w:r>
        <w:rPr>
          <w:rFonts w:hint="eastAsia"/>
          <w:szCs w:val="21"/>
          <w:lang w:val="en-US" w:eastAsia="zh-CN"/>
        </w:rPr>
        <w:t>0</w:t>
      </w:r>
      <w:r>
        <w:rPr>
          <w:rFonts w:ascii="宋体" w:hAnsi="宋体"/>
          <w:szCs w:val="21"/>
        </w:rPr>
        <w:t>及</w:t>
      </w:r>
      <w:r>
        <w:rPr>
          <w:szCs w:val="21"/>
        </w:rPr>
        <w:t>UN R100</w:t>
      </w:r>
      <w:r>
        <w:rPr>
          <w:rFonts w:ascii="宋体" w:hAnsi="宋体"/>
          <w:szCs w:val="21"/>
        </w:rPr>
        <w:t>主要以电压降、温度、温升速率三种参数作为热失控判定的特征参数，而</w:t>
      </w:r>
      <w:r>
        <w:rPr>
          <w:szCs w:val="21"/>
        </w:rPr>
        <w:t>ISO 6469-1 AMD-2022</w:t>
      </w:r>
      <w:r>
        <w:rPr>
          <w:rFonts w:ascii="宋体" w:hAnsi="宋体"/>
          <w:szCs w:val="21"/>
        </w:rPr>
        <w:t>增加排气/冒烟作为定性特征参数，对不同能量密度产品的热失控判定条件做了区分。结合</w:t>
      </w:r>
      <w:r>
        <w:rPr>
          <w:szCs w:val="21"/>
        </w:rPr>
        <w:t>GB 38031</w:t>
      </w:r>
      <w:r>
        <w:rPr>
          <w:rFonts w:hint="eastAsia"/>
          <w:szCs w:val="21"/>
          <w:lang w:eastAsia="zh-CN"/>
        </w:rPr>
        <w:t>—</w:t>
      </w:r>
      <w:r>
        <w:rPr>
          <w:szCs w:val="21"/>
        </w:rPr>
        <w:t>202</w:t>
      </w:r>
      <w:r>
        <w:rPr>
          <w:rFonts w:hint="eastAsia"/>
          <w:szCs w:val="21"/>
          <w:lang w:val="en-US" w:eastAsia="zh-CN"/>
        </w:rPr>
        <w:t>0</w:t>
      </w:r>
      <w:r>
        <w:rPr>
          <w:szCs w:val="21"/>
        </w:rPr>
        <w:t xml:space="preserve"> </w:t>
      </w:r>
      <w:r>
        <w:rPr>
          <w:rFonts w:ascii="宋体" w:hAnsi="宋体"/>
          <w:szCs w:val="21"/>
        </w:rPr>
        <w:t>前期研究工作成果</w:t>
      </w:r>
      <w:r>
        <w:rPr>
          <w:rFonts w:hint="eastAsia" w:ascii="宋体" w:hAnsi="宋体"/>
          <w:szCs w:val="21"/>
        </w:rPr>
        <w:t>以及相关国际法规协调性，</w:t>
      </w:r>
      <w:r>
        <w:rPr>
          <w:rFonts w:ascii="宋体" w:hAnsi="宋体"/>
          <w:szCs w:val="21"/>
        </w:rPr>
        <w:t>维持现行标准内容不变。</w:t>
      </w:r>
    </w:p>
    <w:p>
      <w:pPr>
        <w:spacing w:line="360" w:lineRule="auto"/>
        <w:ind w:firstLine="400"/>
        <w:jc w:val="center"/>
        <w:rPr>
          <w:sz w:val="20"/>
        </w:rPr>
      </w:pPr>
      <w:bookmarkStart w:id="55" w:name="_Hlk162718253"/>
      <w:r>
        <w:rPr>
          <w:rFonts w:hint="eastAsia"/>
          <w:sz w:val="20"/>
        </w:rPr>
        <w:t>表2</w:t>
      </w:r>
      <w:r>
        <w:rPr>
          <w:sz w:val="20"/>
        </w:rPr>
        <w:t>6</w:t>
      </w:r>
      <w:r>
        <w:rPr>
          <w:rFonts w:hint="eastAsia"/>
          <w:sz w:val="20"/>
        </w:rPr>
        <w:t>：热失控判定条件对比</w:t>
      </w:r>
    </w:p>
    <w:tbl>
      <w:tblPr>
        <w:tblStyle w:val="9"/>
        <w:tblW w:w="829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46"/>
        <w:gridCol w:w="1843"/>
        <w:gridCol w:w="1842"/>
        <w:gridCol w:w="1843"/>
        <w:gridCol w:w="19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rFonts w:hint="eastAsia"/>
                <w:sz w:val="20"/>
                <w:szCs w:val="20"/>
              </w:rPr>
              <w:t>标准</w:t>
            </w:r>
          </w:p>
        </w:tc>
        <w:tc>
          <w:tcPr>
            <w:tcW w:w="1843"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szCs w:val="21"/>
              </w:rPr>
              <w:t>GB 38031</w:t>
            </w:r>
            <w:r>
              <w:rPr>
                <w:rFonts w:hint="eastAsia"/>
                <w:szCs w:val="21"/>
                <w:lang w:eastAsia="zh-CN"/>
              </w:rPr>
              <w:t>—</w:t>
            </w:r>
            <w:r>
              <w:rPr>
                <w:szCs w:val="21"/>
              </w:rPr>
              <w:t>202</w:t>
            </w:r>
            <w:r>
              <w:rPr>
                <w:rFonts w:hint="eastAsia"/>
                <w:szCs w:val="21"/>
                <w:lang w:val="en-US" w:eastAsia="zh-CN"/>
              </w:rPr>
              <w:t>0</w:t>
            </w:r>
          </w:p>
        </w:tc>
        <w:tc>
          <w:tcPr>
            <w:tcW w:w="1842"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sz w:val="20"/>
                <w:szCs w:val="20"/>
              </w:rPr>
              <w:t>UN R100</w:t>
            </w:r>
          </w:p>
        </w:tc>
        <w:tc>
          <w:tcPr>
            <w:tcW w:w="3765" w:type="dxa"/>
            <w:gridSpan w:val="2"/>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sz w:val="20"/>
                <w:szCs w:val="20"/>
              </w:rPr>
              <w:t>ISO 6469-1AMD:2022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46" w:type="dxa"/>
            <w:vMerge w:val="restart"/>
            <w:tcBorders>
              <w:top w:val="single" w:color="auto" w:sz="4" w:space="0"/>
              <w:left w:val="single" w:color="auto" w:sz="4" w:space="0"/>
              <w:right w:val="single" w:color="auto" w:sz="4" w:space="0"/>
            </w:tcBorders>
            <w:vAlign w:val="center"/>
          </w:tcPr>
          <w:p>
            <w:pPr>
              <w:spacing w:line="276" w:lineRule="auto"/>
              <w:jc w:val="both"/>
              <w:rPr>
                <w:sz w:val="20"/>
                <w:szCs w:val="20"/>
              </w:rPr>
            </w:pPr>
            <w:r>
              <w:rPr>
                <w:sz w:val="20"/>
                <w:szCs w:val="20"/>
              </w:rPr>
              <w:t>热失控判定条件</w:t>
            </w:r>
          </w:p>
        </w:tc>
        <w:tc>
          <w:tcPr>
            <w:tcW w:w="1843" w:type="dxa"/>
            <w:vMerge w:val="restart"/>
            <w:tcBorders>
              <w:top w:val="single" w:color="auto" w:sz="4" w:space="0"/>
              <w:left w:val="single" w:color="auto" w:sz="4" w:space="0"/>
              <w:right w:val="single" w:color="auto" w:sz="4" w:space="0"/>
            </w:tcBorders>
            <w:vAlign w:val="center"/>
          </w:tcPr>
          <w:p>
            <w:pPr>
              <w:spacing w:line="276" w:lineRule="auto"/>
              <w:jc w:val="both"/>
              <w:rPr>
                <w:sz w:val="20"/>
                <w:szCs w:val="20"/>
              </w:rPr>
            </w:pPr>
            <w:r>
              <w:rPr>
                <w:sz w:val="20"/>
                <w:szCs w:val="20"/>
              </w:rPr>
              <w:t>a) 电压降＞V</w:t>
            </w:r>
            <w:r>
              <w:rPr>
                <w:sz w:val="20"/>
                <w:szCs w:val="20"/>
                <w:vertAlign w:val="subscript"/>
              </w:rPr>
              <w:t>0</w:t>
            </w:r>
            <w:r>
              <w:rPr>
                <w:sz w:val="20"/>
                <w:szCs w:val="20"/>
              </w:rPr>
              <w:t>*25%;</w:t>
            </w:r>
            <w:r>
              <w:rPr>
                <w:sz w:val="20"/>
                <w:szCs w:val="20"/>
              </w:rPr>
              <w:br w:type="textWrapping"/>
            </w:r>
            <w:r>
              <w:rPr>
                <w:sz w:val="20"/>
                <w:szCs w:val="20"/>
              </w:rPr>
              <w:t>b) T≥T</w:t>
            </w:r>
            <w:r>
              <w:rPr>
                <w:sz w:val="20"/>
                <w:szCs w:val="20"/>
                <w:vertAlign w:val="subscript"/>
              </w:rPr>
              <w:t>max op</w:t>
            </w:r>
            <w:r>
              <w:rPr>
                <w:sz w:val="20"/>
                <w:szCs w:val="20"/>
              </w:rPr>
              <w:t>.；</w:t>
            </w:r>
            <w:r>
              <w:rPr>
                <w:sz w:val="20"/>
                <w:szCs w:val="20"/>
              </w:rPr>
              <w:br w:type="textWrapping"/>
            </w:r>
            <w:r>
              <w:rPr>
                <w:sz w:val="20"/>
                <w:szCs w:val="20"/>
              </w:rPr>
              <w:t>c) dT/dt≥1℃/s，</w:t>
            </w:r>
            <w:r>
              <w:rPr>
                <w:sz w:val="20"/>
                <w:szCs w:val="20"/>
              </w:rPr>
              <w:br w:type="textWrapping"/>
            </w:r>
            <w:r>
              <w:rPr>
                <w:sz w:val="20"/>
                <w:szCs w:val="20"/>
              </w:rPr>
              <w:t>且持续 3s 以上。</w:t>
            </w:r>
            <w:r>
              <w:rPr>
                <w:sz w:val="20"/>
                <w:szCs w:val="20"/>
              </w:rPr>
              <w:br w:type="textWrapping"/>
            </w:r>
            <w:r>
              <w:rPr>
                <w:sz w:val="20"/>
                <w:szCs w:val="20"/>
              </w:rPr>
              <w:t>当a)和c)或者b)和c)发生时，判定发生热失控</w:t>
            </w:r>
          </w:p>
        </w:tc>
        <w:tc>
          <w:tcPr>
            <w:tcW w:w="1842" w:type="dxa"/>
            <w:vMerge w:val="restart"/>
            <w:tcBorders>
              <w:top w:val="single" w:color="auto" w:sz="4" w:space="0"/>
              <w:left w:val="single" w:color="auto" w:sz="4" w:space="0"/>
              <w:right w:val="single" w:color="auto" w:sz="4" w:space="0"/>
            </w:tcBorders>
            <w:vAlign w:val="center"/>
          </w:tcPr>
          <w:p>
            <w:pPr>
              <w:spacing w:line="276" w:lineRule="auto"/>
              <w:jc w:val="both"/>
              <w:rPr>
                <w:sz w:val="20"/>
                <w:szCs w:val="20"/>
              </w:rPr>
            </w:pPr>
            <w:r>
              <w:rPr>
                <w:sz w:val="20"/>
                <w:szCs w:val="20"/>
              </w:rPr>
              <w:t>a) 电压降＞V</w:t>
            </w:r>
            <w:r>
              <w:rPr>
                <w:sz w:val="20"/>
                <w:szCs w:val="20"/>
                <w:vertAlign w:val="subscript"/>
              </w:rPr>
              <w:t>0</w:t>
            </w:r>
            <w:r>
              <w:rPr>
                <w:sz w:val="20"/>
                <w:szCs w:val="20"/>
              </w:rPr>
              <w:t>*25%;</w:t>
            </w:r>
            <w:r>
              <w:rPr>
                <w:sz w:val="20"/>
                <w:szCs w:val="20"/>
              </w:rPr>
              <w:br w:type="textWrapping"/>
            </w:r>
            <w:r>
              <w:rPr>
                <w:sz w:val="20"/>
                <w:szCs w:val="20"/>
              </w:rPr>
              <w:t>b) T≥T</w:t>
            </w:r>
            <w:r>
              <w:rPr>
                <w:sz w:val="20"/>
                <w:szCs w:val="20"/>
                <w:vertAlign w:val="subscript"/>
              </w:rPr>
              <w:t>max safety.</w:t>
            </w:r>
            <w:r>
              <w:rPr>
                <w:sz w:val="20"/>
                <w:szCs w:val="20"/>
              </w:rPr>
              <w:t>；</w:t>
            </w:r>
            <w:r>
              <w:rPr>
                <w:sz w:val="20"/>
                <w:szCs w:val="20"/>
              </w:rPr>
              <w:br w:type="textWrapping"/>
            </w:r>
            <w:r>
              <w:rPr>
                <w:sz w:val="20"/>
                <w:szCs w:val="20"/>
              </w:rPr>
              <w:t>c) dT/dt≥1℃/s，</w:t>
            </w:r>
            <w:r>
              <w:rPr>
                <w:sz w:val="20"/>
                <w:szCs w:val="20"/>
              </w:rPr>
              <w:br w:type="textWrapping"/>
            </w:r>
            <w:r>
              <w:rPr>
                <w:sz w:val="20"/>
                <w:szCs w:val="20"/>
              </w:rPr>
              <w:t>且持续 3s 以上。</w:t>
            </w:r>
            <w:r>
              <w:rPr>
                <w:sz w:val="20"/>
                <w:szCs w:val="20"/>
              </w:rPr>
              <w:br w:type="textWrapping"/>
            </w:r>
            <w:r>
              <w:rPr>
                <w:sz w:val="20"/>
                <w:szCs w:val="20"/>
              </w:rPr>
              <w:t>当a)和c)或者b)和c)发生时，判定发生热失控</w:t>
            </w:r>
          </w:p>
        </w:tc>
        <w:tc>
          <w:tcPr>
            <w:tcW w:w="1843" w:type="dxa"/>
            <w:tcBorders>
              <w:top w:val="single" w:color="auto" w:sz="4" w:space="0"/>
              <w:left w:val="single" w:color="auto" w:sz="4" w:space="0"/>
              <w:bottom w:val="single" w:color="auto" w:sz="4" w:space="0"/>
              <w:right w:val="single" w:color="auto" w:sz="4" w:space="0"/>
            </w:tcBorders>
          </w:tcPr>
          <w:p>
            <w:pPr>
              <w:spacing w:line="276" w:lineRule="auto"/>
              <w:jc w:val="both"/>
              <w:rPr>
                <w:sz w:val="20"/>
                <w:szCs w:val="20"/>
              </w:rPr>
            </w:pPr>
            <w:r>
              <w:rPr>
                <w:sz w:val="20"/>
                <w:szCs w:val="20"/>
              </w:rPr>
              <w:t>＜ 130Wh/kg</w:t>
            </w:r>
          </w:p>
        </w:tc>
        <w:tc>
          <w:tcPr>
            <w:tcW w:w="1922" w:type="dxa"/>
            <w:tcBorders>
              <w:top w:val="single" w:color="auto" w:sz="4" w:space="0"/>
              <w:left w:val="single" w:color="auto" w:sz="4" w:space="0"/>
              <w:bottom w:val="single" w:color="auto" w:sz="4" w:space="0"/>
              <w:right w:val="single" w:color="auto" w:sz="4" w:space="0"/>
            </w:tcBorders>
          </w:tcPr>
          <w:p>
            <w:pPr>
              <w:spacing w:line="276" w:lineRule="auto"/>
              <w:jc w:val="both"/>
              <w:rPr>
                <w:sz w:val="20"/>
                <w:szCs w:val="20"/>
              </w:rPr>
            </w:pPr>
            <w:r>
              <w:rPr>
                <w:sz w:val="20"/>
                <w:szCs w:val="20"/>
              </w:rPr>
              <w:t>≥130Wh/kg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46" w:type="dxa"/>
            <w:vMerge w:val="continue"/>
            <w:tcBorders>
              <w:left w:val="single" w:color="auto" w:sz="4" w:space="0"/>
              <w:bottom w:val="single" w:color="auto" w:sz="4" w:space="0"/>
              <w:right w:val="single" w:color="auto" w:sz="4" w:space="0"/>
            </w:tcBorders>
            <w:vAlign w:val="center"/>
          </w:tcPr>
          <w:p>
            <w:pPr>
              <w:widowControl w:val="0"/>
              <w:spacing w:line="276" w:lineRule="auto"/>
              <w:jc w:val="both"/>
              <w:rPr>
                <w:sz w:val="20"/>
                <w:szCs w:val="20"/>
              </w:rPr>
            </w:pPr>
          </w:p>
        </w:tc>
        <w:tc>
          <w:tcPr>
            <w:tcW w:w="1843" w:type="dxa"/>
            <w:vMerge w:val="continue"/>
            <w:tcBorders>
              <w:left w:val="single" w:color="auto" w:sz="4" w:space="0"/>
              <w:bottom w:val="single" w:color="auto" w:sz="4" w:space="0"/>
              <w:right w:val="single" w:color="auto" w:sz="4" w:space="0"/>
            </w:tcBorders>
            <w:vAlign w:val="center"/>
          </w:tcPr>
          <w:p>
            <w:pPr>
              <w:widowControl w:val="0"/>
              <w:spacing w:line="276" w:lineRule="auto"/>
              <w:jc w:val="both"/>
              <w:rPr>
                <w:sz w:val="20"/>
                <w:szCs w:val="20"/>
              </w:rPr>
            </w:pPr>
          </w:p>
        </w:tc>
        <w:tc>
          <w:tcPr>
            <w:tcW w:w="1842" w:type="dxa"/>
            <w:vMerge w:val="continue"/>
            <w:tcBorders>
              <w:left w:val="single" w:color="auto" w:sz="4" w:space="0"/>
              <w:bottom w:val="single" w:color="auto" w:sz="4" w:space="0"/>
              <w:right w:val="single" w:color="auto" w:sz="4" w:space="0"/>
            </w:tcBorders>
            <w:vAlign w:val="center"/>
          </w:tcPr>
          <w:p>
            <w:pPr>
              <w:widowControl w:val="0"/>
              <w:spacing w:line="276" w:lineRule="auto"/>
              <w:jc w:val="both"/>
              <w:rPr>
                <w:sz w:val="20"/>
                <w:szCs w:val="20"/>
              </w:rPr>
            </w:pPr>
          </w:p>
        </w:tc>
        <w:tc>
          <w:tcPr>
            <w:tcW w:w="1843" w:type="dxa"/>
            <w:tcBorders>
              <w:top w:val="single" w:color="auto" w:sz="4" w:space="0"/>
              <w:left w:val="single" w:color="auto" w:sz="4" w:space="0"/>
              <w:bottom w:val="single" w:color="auto" w:sz="4" w:space="0"/>
              <w:right w:val="single" w:color="auto" w:sz="4" w:space="0"/>
            </w:tcBorders>
          </w:tcPr>
          <w:p>
            <w:pPr>
              <w:widowControl w:val="0"/>
              <w:spacing w:line="276" w:lineRule="auto"/>
              <w:jc w:val="both"/>
              <w:rPr>
                <w:sz w:val="20"/>
                <w:szCs w:val="20"/>
              </w:rPr>
            </w:pPr>
            <w:r>
              <w:rPr>
                <w:sz w:val="20"/>
                <w:szCs w:val="20"/>
              </w:rPr>
              <w:t>a) dT/dt≥1℃/s，T＞T</w:t>
            </w:r>
            <w:r>
              <w:rPr>
                <w:sz w:val="20"/>
                <w:szCs w:val="20"/>
                <w:vertAlign w:val="subscript"/>
              </w:rPr>
              <w:t>onset</w:t>
            </w:r>
          </w:p>
          <w:p>
            <w:pPr>
              <w:widowControl w:val="0"/>
              <w:spacing w:line="276" w:lineRule="auto"/>
              <w:jc w:val="both"/>
              <w:rPr>
                <w:sz w:val="20"/>
                <w:szCs w:val="20"/>
              </w:rPr>
            </w:pPr>
            <w:r>
              <w:rPr>
                <w:sz w:val="20"/>
                <w:szCs w:val="20"/>
              </w:rPr>
              <w:t>b) 电压降，T＞T</w:t>
            </w:r>
            <w:r>
              <w:rPr>
                <w:sz w:val="20"/>
                <w:szCs w:val="20"/>
                <w:vertAlign w:val="subscript"/>
              </w:rPr>
              <w:t>onset</w:t>
            </w:r>
          </w:p>
          <w:p>
            <w:pPr>
              <w:widowControl w:val="0"/>
              <w:spacing w:line="276" w:lineRule="auto"/>
              <w:jc w:val="both"/>
              <w:rPr>
                <w:sz w:val="20"/>
                <w:szCs w:val="20"/>
              </w:rPr>
            </w:pPr>
            <w:r>
              <w:rPr>
                <w:sz w:val="20"/>
                <w:szCs w:val="20"/>
              </w:rPr>
              <w:t>c) T＞ T</w:t>
            </w:r>
            <w:r>
              <w:rPr>
                <w:sz w:val="20"/>
                <w:szCs w:val="20"/>
                <w:vertAlign w:val="subscript"/>
              </w:rPr>
              <w:t>onset</w:t>
            </w:r>
            <w:r>
              <w:rPr>
                <w:sz w:val="20"/>
                <w:szCs w:val="20"/>
              </w:rPr>
              <w:t>，排气/冒烟</w:t>
            </w:r>
          </w:p>
          <w:p>
            <w:pPr>
              <w:widowControl w:val="0"/>
              <w:spacing w:line="276" w:lineRule="auto"/>
              <w:jc w:val="both"/>
              <w:rPr>
                <w:sz w:val="20"/>
                <w:szCs w:val="20"/>
              </w:rPr>
            </w:pPr>
            <w:r>
              <w:rPr>
                <w:sz w:val="20"/>
                <w:szCs w:val="20"/>
              </w:rPr>
              <w:t>d) dT/dt≥1℃/s,电压降, 排气/冒烟满足上述标准之一且持续时间超过 3s， 判定发生热失控</w:t>
            </w:r>
          </w:p>
        </w:tc>
        <w:tc>
          <w:tcPr>
            <w:tcW w:w="1922" w:type="dxa"/>
            <w:tcBorders>
              <w:top w:val="single" w:color="auto" w:sz="4" w:space="0"/>
              <w:left w:val="single" w:color="auto" w:sz="4" w:space="0"/>
              <w:bottom w:val="single" w:color="auto" w:sz="4" w:space="0"/>
              <w:right w:val="single" w:color="auto" w:sz="4" w:space="0"/>
            </w:tcBorders>
          </w:tcPr>
          <w:p>
            <w:pPr>
              <w:widowControl w:val="0"/>
              <w:spacing w:line="276" w:lineRule="auto"/>
              <w:jc w:val="both"/>
              <w:rPr>
                <w:sz w:val="20"/>
                <w:szCs w:val="20"/>
              </w:rPr>
            </w:pPr>
            <w:r>
              <w:rPr>
                <w:sz w:val="20"/>
                <w:szCs w:val="20"/>
              </w:rPr>
              <w:t>a) dT/dt≥15℃/s， T＞T</w:t>
            </w:r>
            <w:r>
              <w:rPr>
                <w:sz w:val="20"/>
                <w:szCs w:val="20"/>
                <w:vertAlign w:val="subscript"/>
              </w:rPr>
              <w:t>onset</w:t>
            </w:r>
          </w:p>
          <w:p>
            <w:pPr>
              <w:widowControl w:val="0"/>
              <w:spacing w:line="276" w:lineRule="auto"/>
              <w:jc w:val="both"/>
              <w:rPr>
                <w:sz w:val="20"/>
                <w:szCs w:val="20"/>
              </w:rPr>
            </w:pPr>
            <w:r>
              <w:rPr>
                <w:sz w:val="20"/>
                <w:szCs w:val="20"/>
              </w:rPr>
              <w:t>b) 电压降，T＞ T</w:t>
            </w:r>
            <w:r>
              <w:rPr>
                <w:sz w:val="20"/>
                <w:szCs w:val="20"/>
                <w:vertAlign w:val="subscript"/>
              </w:rPr>
              <w:t>onset</w:t>
            </w:r>
          </w:p>
          <w:p>
            <w:pPr>
              <w:widowControl w:val="0"/>
              <w:spacing w:line="276" w:lineRule="auto"/>
              <w:jc w:val="both"/>
              <w:rPr>
                <w:sz w:val="20"/>
                <w:szCs w:val="20"/>
              </w:rPr>
            </w:pPr>
            <w:r>
              <w:rPr>
                <w:sz w:val="20"/>
                <w:szCs w:val="20"/>
              </w:rPr>
              <w:t>c) T＞T</w:t>
            </w:r>
            <w:r>
              <w:rPr>
                <w:sz w:val="20"/>
                <w:szCs w:val="20"/>
                <w:vertAlign w:val="subscript"/>
              </w:rPr>
              <w:t>onset</w:t>
            </w:r>
            <w:r>
              <w:rPr>
                <w:sz w:val="20"/>
                <w:szCs w:val="20"/>
              </w:rPr>
              <w:t>，排气/冒烟</w:t>
            </w:r>
          </w:p>
          <w:p>
            <w:pPr>
              <w:widowControl w:val="0"/>
              <w:spacing w:line="276" w:lineRule="auto"/>
              <w:jc w:val="both"/>
              <w:rPr>
                <w:sz w:val="20"/>
                <w:szCs w:val="20"/>
              </w:rPr>
            </w:pPr>
            <w:r>
              <w:rPr>
                <w:sz w:val="20"/>
                <w:szCs w:val="20"/>
              </w:rPr>
              <w:t>d) dT/dt≥15℃/s, 电压降, 排气/冒烟</w:t>
            </w:r>
            <w:r>
              <w:rPr>
                <w:rFonts w:hint="eastAsia"/>
                <w:sz w:val="20"/>
                <w:szCs w:val="20"/>
              </w:rPr>
              <w:t>；</w:t>
            </w:r>
            <w:r>
              <w:rPr>
                <w:sz w:val="20"/>
                <w:szCs w:val="20"/>
              </w:rPr>
              <w:t>满足上述标准之一且持续时间超过 0.5s，判定发生热失控</w:t>
            </w:r>
          </w:p>
        </w:tc>
      </w:tr>
      <w:bookmarkEnd w:id="55"/>
    </w:tbl>
    <w:p>
      <w:pPr>
        <w:spacing w:line="360" w:lineRule="auto"/>
        <w:ind w:firstLine="420"/>
        <w:jc w:val="both"/>
        <w:rPr>
          <w:rFonts w:ascii="宋体" w:hAnsi="宋体"/>
          <w:szCs w:val="21"/>
        </w:rPr>
      </w:pPr>
      <w:r>
        <w:rPr>
          <w:szCs w:val="21"/>
        </w:rPr>
        <w:t>d）</w:t>
      </w:r>
      <w:r>
        <w:rPr>
          <w:rFonts w:ascii="宋体" w:hAnsi="宋体"/>
          <w:szCs w:val="21"/>
        </w:rPr>
        <w:t>触发方法：</w:t>
      </w:r>
      <w:r>
        <w:rPr>
          <w:szCs w:val="21"/>
        </w:rPr>
        <w:t>GB 38031</w:t>
      </w:r>
      <w:r>
        <w:rPr>
          <w:rFonts w:hint="eastAsia"/>
          <w:szCs w:val="21"/>
          <w:lang w:eastAsia="zh-CN"/>
        </w:rPr>
        <w:t>—</w:t>
      </w:r>
      <w:r>
        <w:rPr>
          <w:szCs w:val="21"/>
        </w:rPr>
        <w:t>202</w:t>
      </w:r>
      <w:r>
        <w:rPr>
          <w:rFonts w:hint="eastAsia"/>
          <w:szCs w:val="21"/>
          <w:lang w:val="en-US" w:eastAsia="zh-CN"/>
        </w:rPr>
        <w:t>0</w:t>
      </w:r>
      <w:r>
        <w:rPr>
          <w:rFonts w:ascii="宋体" w:hAnsi="宋体"/>
          <w:szCs w:val="21"/>
        </w:rPr>
        <w:t>中推荐的触发方法为针刺及外部加热，同时说明制造商也可自行选择热失控触发方法。</w:t>
      </w:r>
      <w:r>
        <w:rPr>
          <w:szCs w:val="21"/>
        </w:rPr>
        <w:t>ISO 6469-1AMD</w:t>
      </w:r>
      <w:r>
        <w:rPr>
          <w:rFonts w:ascii="宋体" w:hAnsi="宋体"/>
          <w:szCs w:val="21"/>
        </w:rPr>
        <w:t>工作组评估了</w:t>
      </w:r>
      <w:r>
        <w:rPr>
          <w:rFonts w:hint="eastAsia" w:ascii="宋体" w:hAnsi="宋体"/>
          <w:szCs w:val="21"/>
        </w:rPr>
        <w:t>＞</w:t>
      </w:r>
      <w:r>
        <w:rPr>
          <w:rFonts w:ascii="宋体" w:hAnsi="宋体"/>
          <w:szCs w:val="21"/>
        </w:rPr>
        <w:t>10种热失控触发方法，各个国家从不同维度（代表性、重复性、再现性、适用性等）对热失控触发方法进行评分后，最终将内部加热、外部加热、针刺三种方法作为可选的热失控触发方法；同时，</w:t>
      </w:r>
      <w:r>
        <w:rPr>
          <w:szCs w:val="21"/>
        </w:rPr>
        <w:t>UN R100</w:t>
      </w:r>
      <w:r>
        <w:rPr>
          <w:rFonts w:ascii="宋体" w:hAnsi="宋体"/>
          <w:szCs w:val="21"/>
        </w:rPr>
        <w:t>修订工作组也将内加热作为可选触发方法之一，纳入标准中。本着与国际标准法规保持协调的精神，将内加热触发方法加入</w:t>
      </w:r>
      <w:r>
        <w:rPr>
          <w:szCs w:val="21"/>
        </w:rPr>
        <w:t>GB 38031</w:t>
      </w:r>
      <w:r>
        <w:rPr>
          <w:rFonts w:ascii="宋体" w:hAnsi="宋体"/>
          <w:szCs w:val="21"/>
        </w:rPr>
        <w:t>的推荐触发方法中</w:t>
      </w:r>
      <w:r>
        <w:rPr>
          <w:rFonts w:hint="eastAsia" w:ascii="宋体" w:hAnsi="宋体"/>
          <w:szCs w:val="21"/>
        </w:rPr>
        <w:t>。</w:t>
      </w:r>
    </w:p>
    <w:p>
      <w:pPr>
        <w:spacing w:line="360" w:lineRule="auto"/>
        <w:ind w:firstLine="420"/>
        <w:jc w:val="both"/>
        <w:rPr>
          <w:rFonts w:ascii="宋体" w:hAnsi="宋体"/>
          <w:szCs w:val="21"/>
        </w:rPr>
      </w:pPr>
      <w:r>
        <w:rPr>
          <w:szCs w:val="21"/>
        </w:rPr>
        <w:t>e）</w:t>
      </w:r>
      <w:r>
        <w:rPr>
          <w:rFonts w:ascii="宋体" w:hAnsi="宋体"/>
          <w:szCs w:val="21"/>
        </w:rPr>
        <w:t>危险定义：目前在</w:t>
      </w:r>
      <w:r>
        <w:rPr>
          <w:szCs w:val="21"/>
        </w:rPr>
        <w:t>GB 38031</w:t>
      </w:r>
      <w:r>
        <w:rPr>
          <w:rFonts w:hint="eastAsia"/>
          <w:szCs w:val="21"/>
          <w:lang w:eastAsia="zh-CN"/>
        </w:rPr>
        <w:t>—</w:t>
      </w:r>
      <w:r>
        <w:rPr>
          <w:szCs w:val="21"/>
        </w:rPr>
        <w:t>202</w:t>
      </w:r>
      <w:r>
        <w:rPr>
          <w:rFonts w:hint="eastAsia"/>
          <w:szCs w:val="21"/>
          <w:lang w:val="en-US" w:eastAsia="zh-CN"/>
        </w:rPr>
        <w:t>0</w:t>
      </w:r>
      <w:r>
        <w:rPr>
          <w:szCs w:val="21"/>
        </w:rPr>
        <w:t>，UN R100</w:t>
      </w:r>
      <w:r>
        <w:rPr>
          <w:rFonts w:ascii="宋体" w:hAnsi="宋体"/>
          <w:szCs w:val="21"/>
        </w:rPr>
        <w:t>文件中，对危险的定义均为起火、爆炸、乘客舱出现可见烟气，其中争议较大的是烟气判定，目前在国内外标准中均未对烟气进行定量化说明，</w:t>
      </w:r>
      <w:r>
        <w:rPr>
          <w:rFonts w:hint="eastAsia" w:ascii="宋体" w:hAnsi="宋体"/>
          <w:szCs w:val="21"/>
        </w:rPr>
        <w:t>因此维持“可见烟气进入乘客舱”的判定。</w:t>
      </w:r>
    </w:p>
    <w:p>
      <w:pPr>
        <w:spacing w:line="360" w:lineRule="auto"/>
        <w:ind w:firstLine="420"/>
        <w:jc w:val="both"/>
        <w:rPr>
          <w:rFonts w:ascii="宋体" w:hAnsi="宋体"/>
          <w:szCs w:val="21"/>
        </w:rPr>
      </w:pPr>
      <w:r>
        <w:rPr>
          <w:rFonts w:hint="default" w:ascii="Times New Roman" w:hAnsi="Times New Roman" w:cs="Times New Roman"/>
          <w:szCs w:val="21"/>
        </w:rPr>
        <w:t>f）试验要求：GB 38031</w:t>
      </w:r>
      <w:r>
        <w:rPr>
          <w:rFonts w:hint="default" w:ascii="Times New Roman" w:hAnsi="Times New Roman" w:cs="Times New Roman"/>
          <w:szCs w:val="21"/>
          <w:lang w:eastAsia="zh-CN"/>
        </w:rPr>
        <w:t>—</w:t>
      </w:r>
      <w:r>
        <w:rPr>
          <w:rFonts w:hint="default" w:ascii="Times New Roman" w:hAnsi="Times New Roman" w:cs="Times New Roman"/>
          <w:szCs w:val="21"/>
        </w:rPr>
        <w:t>202</w:t>
      </w:r>
      <w:r>
        <w:rPr>
          <w:rFonts w:hint="default" w:ascii="Times New Roman" w:hAnsi="Times New Roman" w:cs="Times New Roman"/>
          <w:szCs w:val="21"/>
          <w:lang w:val="en-US" w:eastAsia="zh-CN"/>
        </w:rPr>
        <w:t>0</w:t>
      </w:r>
      <w:r>
        <w:rPr>
          <w:rFonts w:hint="default" w:ascii="Times New Roman" w:hAnsi="Times New Roman" w:cs="Times New Roman"/>
          <w:szCs w:val="21"/>
        </w:rPr>
        <w:t>、UN R100、UN GTR 20中均要求乘员舱危险的5分钟提供报警信号，本次修订计划进一步提升热扩散要求（详见本编制说明第二部分）</w:t>
      </w:r>
      <w:r>
        <w:rPr>
          <w:rFonts w:hint="eastAsia" w:ascii="宋体" w:hAnsi="宋体"/>
          <w:szCs w:val="21"/>
        </w:rPr>
        <w:t>。</w:t>
      </w:r>
    </w:p>
    <w:p>
      <w:pPr>
        <w:pStyle w:val="19"/>
        <w:numPr>
          <w:ilvl w:val="0"/>
          <w:numId w:val="10"/>
        </w:numPr>
        <w:spacing w:line="360" w:lineRule="auto"/>
        <w:jc w:val="both"/>
        <w:rPr>
          <w:rFonts w:ascii="宋体" w:hAnsi="宋体"/>
        </w:rPr>
      </w:pPr>
      <w:r>
        <w:rPr>
          <w:rFonts w:hint="eastAsia" w:ascii="宋体" w:hAnsi="宋体"/>
        </w:rPr>
        <w:t>温度冲击</w:t>
      </w:r>
      <w:bookmarkStart w:id="56" w:name="_Hlk162721059"/>
      <w:bookmarkStart w:id="57" w:name="_Hlk162718782"/>
    </w:p>
    <w:p>
      <w:pPr>
        <w:spacing w:line="360" w:lineRule="auto"/>
        <w:ind w:firstLine="400"/>
        <w:jc w:val="center"/>
        <w:rPr>
          <w:sz w:val="20"/>
        </w:rPr>
      </w:pPr>
      <w:r>
        <w:rPr>
          <w:rFonts w:hint="eastAsia"/>
          <w:sz w:val="20"/>
        </w:rPr>
        <w:t>表2</w:t>
      </w:r>
      <w:r>
        <w:rPr>
          <w:sz w:val="20"/>
        </w:rPr>
        <w:t>7</w:t>
      </w:r>
      <w:r>
        <w:rPr>
          <w:rFonts w:hint="eastAsia"/>
          <w:sz w:val="20"/>
        </w:rPr>
        <w:t>：电池包或系统温度冲击测试对比</w:t>
      </w:r>
    </w:p>
    <w:tbl>
      <w:tblPr>
        <w:tblStyle w:val="9"/>
        <w:tblW w:w="842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25"/>
        <w:gridCol w:w="2116"/>
        <w:gridCol w:w="2317"/>
        <w:gridCol w:w="1384"/>
        <w:gridCol w:w="138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1225"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rFonts w:hint="eastAsia"/>
                <w:sz w:val="20"/>
                <w:szCs w:val="20"/>
              </w:rPr>
              <w:t>标准</w:t>
            </w:r>
          </w:p>
        </w:tc>
        <w:tc>
          <w:tcPr>
            <w:tcW w:w="2116"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sz w:val="20"/>
                <w:szCs w:val="20"/>
              </w:rPr>
              <w:t>GB 38031-2020</w:t>
            </w:r>
          </w:p>
        </w:tc>
        <w:tc>
          <w:tcPr>
            <w:tcW w:w="2317"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sz w:val="20"/>
                <w:szCs w:val="20"/>
              </w:rPr>
              <w:t>ISO 6469-1:2019</w:t>
            </w:r>
          </w:p>
        </w:tc>
        <w:tc>
          <w:tcPr>
            <w:tcW w:w="1384"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sz w:val="20"/>
                <w:szCs w:val="20"/>
              </w:rPr>
              <w:t>EVS-GTR</w:t>
            </w:r>
          </w:p>
        </w:tc>
        <w:tc>
          <w:tcPr>
            <w:tcW w:w="1385"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sz w:val="20"/>
                <w:szCs w:val="20"/>
              </w:rPr>
              <w:t>UN R100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sz w:val="20"/>
                <w:szCs w:val="20"/>
              </w:rPr>
              <w:t>电池状态</w:t>
            </w:r>
          </w:p>
        </w:tc>
        <w:tc>
          <w:tcPr>
            <w:tcW w:w="2116"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rFonts w:hint="eastAsia"/>
                <w:sz w:val="20"/>
                <w:szCs w:val="20"/>
              </w:rPr>
              <w:t>完全充电状态</w:t>
            </w:r>
          </w:p>
        </w:tc>
        <w:tc>
          <w:tcPr>
            <w:tcW w:w="2317"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rFonts w:hint="eastAsia"/>
                <w:sz w:val="20"/>
                <w:szCs w:val="20"/>
              </w:rPr>
              <w:t>最高使用SOC</w:t>
            </w:r>
          </w:p>
        </w:tc>
        <w:tc>
          <w:tcPr>
            <w:tcW w:w="2769"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rFonts w:hint="eastAsia"/>
                <w:sz w:val="20"/>
                <w:szCs w:val="20"/>
              </w:rPr>
              <w:t>最高使用SOC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0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sz w:val="20"/>
                <w:szCs w:val="20"/>
              </w:rPr>
              <w:t>测试方法</w:t>
            </w:r>
          </w:p>
        </w:tc>
        <w:tc>
          <w:tcPr>
            <w:tcW w:w="2116"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a)(40±2)℃~(60±2)℃，极端温度转换时间30min，极端温度停留8h；</w:t>
            </w:r>
          </w:p>
          <w:p>
            <w:pPr>
              <w:widowControl w:val="0"/>
              <w:spacing w:line="276" w:lineRule="auto"/>
              <w:jc w:val="both"/>
              <w:rPr>
                <w:sz w:val="20"/>
                <w:szCs w:val="20"/>
              </w:rPr>
            </w:pPr>
            <w:r>
              <w:rPr>
                <w:sz w:val="20"/>
                <w:szCs w:val="20"/>
              </w:rPr>
              <w:t>b) 循环5次；</w:t>
            </w:r>
          </w:p>
          <w:p>
            <w:pPr>
              <w:widowControl w:val="0"/>
              <w:spacing w:line="276" w:lineRule="auto"/>
              <w:jc w:val="both"/>
              <w:rPr>
                <w:sz w:val="20"/>
                <w:szCs w:val="20"/>
              </w:rPr>
            </w:pPr>
            <w:r>
              <w:rPr>
                <w:sz w:val="20"/>
                <w:szCs w:val="20"/>
              </w:rPr>
              <w:t>c) 室温下观察2h</w:t>
            </w:r>
          </w:p>
        </w:tc>
        <w:tc>
          <w:tcPr>
            <w:tcW w:w="2317"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a) 60±2℃，存放≥6h，-40±2℃，存放≥6h，两种温度转换30min内完成；</w:t>
            </w:r>
          </w:p>
          <w:p>
            <w:pPr>
              <w:widowControl w:val="0"/>
              <w:spacing w:line="276" w:lineRule="auto"/>
              <w:jc w:val="both"/>
              <w:rPr>
                <w:sz w:val="20"/>
                <w:szCs w:val="20"/>
              </w:rPr>
            </w:pPr>
            <w:r>
              <w:rPr>
                <w:sz w:val="20"/>
                <w:szCs w:val="20"/>
              </w:rPr>
              <w:t>b) 至少循环5次，在20±5℃下静置24h；</w:t>
            </w:r>
          </w:p>
          <w:p>
            <w:pPr>
              <w:widowControl w:val="0"/>
              <w:spacing w:line="276" w:lineRule="auto"/>
              <w:jc w:val="both"/>
              <w:rPr>
                <w:sz w:val="20"/>
                <w:szCs w:val="20"/>
              </w:rPr>
            </w:pPr>
            <w:r>
              <w:rPr>
                <w:sz w:val="20"/>
                <w:szCs w:val="20"/>
              </w:rPr>
              <w:t>c) 进行1个标准循环， 室温下观察1h。</w:t>
            </w:r>
          </w:p>
        </w:tc>
        <w:tc>
          <w:tcPr>
            <w:tcW w:w="2769"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a) 60±2℃，存放≥6h，-40±2℃，存放≥6h，两种温度转换30min内完成；</w:t>
            </w:r>
          </w:p>
          <w:p>
            <w:pPr>
              <w:widowControl w:val="0"/>
              <w:spacing w:line="276" w:lineRule="auto"/>
              <w:jc w:val="both"/>
              <w:rPr>
                <w:sz w:val="20"/>
                <w:szCs w:val="20"/>
              </w:rPr>
            </w:pPr>
            <w:r>
              <w:rPr>
                <w:sz w:val="20"/>
                <w:szCs w:val="20"/>
              </w:rPr>
              <w:t>b) 至少循环5次，在20±5℃下静置24h；</w:t>
            </w:r>
          </w:p>
          <w:p>
            <w:pPr>
              <w:widowControl w:val="0"/>
              <w:spacing w:line="276" w:lineRule="auto"/>
              <w:jc w:val="both"/>
              <w:rPr>
                <w:sz w:val="20"/>
                <w:szCs w:val="20"/>
              </w:rPr>
            </w:pPr>
            <w:r>
              <w:rPr>
                <w:sz w:val="20"/>
                <w:szCs w:val="20"/>
              </w:rPr>
              <w:t>c) 进行1个标准循环， 室温下观察1h。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56"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sz w:val="20"/>
                <w:szCs w:val="20"/>
              </w:rPr>
              <w:t>判定方法</w:t>
            </w:r>
          </w:p>
        </w:tc>
        <w:tc>
          <w:tcPr>
            <w:tcW w:w="2116"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无泄漏、无外壳破裂、无着火、无爆炸等，试验后的绝缘阻值≥100Ω/V</w:t>
            </w:r>
          </w:p>
        </w:tc>
        <w:tc>
          <w:tcPr>
            <w:tcW w:w="2317"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无泄漏、外壳破裂、起火或爆炸现象，试验后的绝缘阻值应符合原文4.2节要求</w:t>
            </w:r>
          </w:p>
        </w:tc>
        <w:tc>
          <w:tcPr>
            <w:tcW w:w="2769"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无电解液泄漏、无外壳破裂、无着火、无爆炸等，测试后绝缘阻值≥100Ω/V</w:t>
            </w:r>
          </w:p>
        </w:tc>
      </w:tr>
      <w:bookmarkEnd w:id="56"/>
    </w:tbl>
    <w:p>
      <w:pPr>
        <w:spacing w:line="360" w:lineRule="auto"/>
        <w:ind w:firstLine="420"/>
        <w:jc w:val="both"/>
        <w:rPr>
          <w:rFonts w:ascii="宋体" w:hAnsi="宋体"/>
        </w:rPr>
      </w:pPr>
      <w:r>
        <w:rPr>
          <w:rFonts w:hint="eastAsia" w:ascii="宋体" w:hAnsi="宋体"/>
        </w:rPr>
        <w:t xml:space="preserve"> GB 38031-2020温度循环工况与EVS GTR及ISO 6469-1基本协调，因此维持现行标准内容不变。</w:t>
      </w:r>
    </w:p>
    <w:bookmarkEnd w:id="57"/>
    <w:p>
      <w:pPr>
        <w:pStyle w:val="19"/>
        <w:numPr>
          <w:ilvl w:val="0"/>
          <w:numId w:val="10"/>
        </w:numPr>
        <w:spacing w:line="400" w:lineRule="exact"/>
        <w:rPr>
          <w:rFonts w:ascii="宋体" w:hAnsi="宋体"/>
        </w:rPr>
      </w:pPr>
      <w:r>
        <w:rPr>
          <w:rFonts w:hint="eastAsia" w:ascii="宋体" w:hAnsi="宋体"/>
        </w:rPr>
        <w:t>盐雾</w:t>
      </w:r>
      <w:bookmarkStart w:id="58" w:name="_Hlk162718810"/>
    </w:p>
    <w:p>
      <w:pPr>
        <w:spacing w:line="360" w:lineRule="auto"/>
        <w:ind w:firstLine="400"/>
        <w:jc w:val="center"/>
        <w:rPr>
          <w:sz w:val="20"/>
        </w:rPr>
      </w:pPr>
      <w:r>
        <w:rPr>
          <w:rFonts w:hint="eastAsia"/>
          <w:sz w:val="20"/>
        </w:rPr>
        <w:t>表2</w:t>
      </w:r>
      <w:r>
        <w:rPr>
          <w:sz w:val="20"/>
        </w:rPr>
        <w:t>8</w:t>
      </w:r>
      <w:r>
        <w:rPr>
          <w:rFonts w:hint="eastAsia"/>
          <w:sz w:val="20"/>
        </w:rPr>
        <w:t>：电池包或系统盐雾测试对比</w:t>
      </w:r>
    </w:p>
    <w:tbl>
      <w:tblPr>
        <w:tblStyle w:val="9"/>
        <w:tblW w:w="837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94"/>
        <w:gridCol w:w="3538"/>
        <w:gridCol w:w="353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7" w:hRule="atLeast"/>
          <w:jc w:val="center"/>
        </w:trPr>
        <w:tc>
          <w:tcPr>
            <w:tcW w:w="1294"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rFonts w:hint="eastAsia"/>
                <w:sz w:val="20"/>
                <w:szCs w:val="20"/>
              </w:rPr>
              <w:t>标准</w:t>
            </w:r>
          </w:p>
        </w:tc>
        <w:tc>
          <w:tcPr>
            <w:tcW w:w="3538"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szCs w:val="21"/>
              </w:rPr>
              <w:t>GB 38031</w:t>
            </w:r>
            <w:r>
              <w:rPr>
                <w:rFonts w:hint="eastAsia"/>
                <w:szCs w:val="21"/>
                <w:lang w:eastAsia="zh-CN"/>
              </w:rPr>
              <w:t>—</w:t>
            </w:r>
            <w:r>
              <w:rPr>
                <w:szCs w:val="21"/>
              </w:rPr>
              <w:t>202</w:t>
            </w:r>
            <w:r>
              <w:rPr>
                <w:rFonts w:hint="eastAsia"/>
                <w:szCs w:val="21"/>
                <w:lang w:val="en-US" w:eastAsia="zh-CN"/>
              </w:rPr>
              <w:t>0</w:t>
            </w:r>
          </w:p>
        </w:tc>
        <w:tc>
          <w:tcPr>
            <w:tcW w:w="3538" w:type="dxa"/>
            <w:tcBorders>
              <w:top w:val="single" w:color="auto" w:sz="4" w:space="0"/>
              <w:left w:val="single" w:color="auto" w:sz="4" w:space="0"/>
              <w:bottom w:val="single" w:color="auto" w:sz="4" w:space="0"/>
              <w:right w:val="single" w:color="auto" w:sz="4" w:space="0"/>
            </w:tcBorders>
          </w:tcPr>
          <w:p>
            <w:pPr>
              <w:spacing w:line="276" w:lineRule="auto"/>
              <w:jc w:val="center"/>
              <w:rPr>
                <w:sz w:val="20"/>
                <w:szCs w:val="20"/>
              </w:rPr>
            </w:pPr>
            <w:r>
              <w:rPr>
                <w:sz w:val="20"/>
                <w:szCs w:val="20"/>
              </w:rPr>
              <w:t>IEC 60068-2-52</w:t>
            </w:r>
            <w:r>
              <w:rPr>
                <w:rFonts w:hint="eastAsia"/>
                <w:sz w:val="20"/>
                <w:szCs w:val="20"/>
                <w:lang w:val="en-US" w:eastAsia="zh-CN"/>
              </w:rPr>
              <w:t xml:space="preserve">: </w:t>
            </w:r>
            <w:r>
              <w:rPr>
                <w:sz w:val="20"/>
                <w:szCs w:val="20"/>
              </w:rPr>
              <w:t>2017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294"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sz w:val="20"/>
                <w:szCs w:val="20"/>
              </w:rPr>
              <w:t>电池状态</w:t>
            </w:r>
          </w:p>
        </w:tc>
        <w:tc>
          <w:tcPr>
            <w:tcW w:w="353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rPr>
                <w:sz w:val="20"/>
                <w:szCs w:val="20"/>
              </w:rPr>
            </w:pPr>
            <w:r>
              <w:rPr>
                <w:rFonts w:hint="eastAsia"/>
                <w:sz w:val="20"/>
                <w:szCs w:val="20"/>
              </w:rPr>
              <w:t>完全充电状态</w:t>
            </w:r>
          </w:p>
        </w:tc>
        <w:tc>
          <w:tcPr>
            <w:tcW w:w="3538" w:type="dxa"/>
            <w:tcBorders>
              <w:top w:val="single" w:color="auto" w:sz="4" w:space="0"/>
              <w:left w:val="single" w:color="auto" w:sz="4" w:space="0"/>
              <w:bottom w:val="single" w:color="auto" w:sz="4" w:space="0"/>
              <w:right w:val="single" w:color="auto" w:sz="4" w:space="0"/>
            </w:tcBorders>
          </w:tcPr>
          <w:p>
            <w:pPr>
              <w:widowControl w:val="0"/>
              <w:spacing w:line="276" w:lineRule="auto"/>
              <w:rPr>
                <w:sz w:val="20"/>
                <w:szCs w:val="20"/>
              </w:rPr>
            </w:pPr>
            <w:r>
              <w:rPr>
                <w:sz w:val="20"/>
                <w:szCs w:val="20"/>
              </w:rPr>
              <w:t>环境试验，非电池标准，未规定SOC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553" w:hRule="atLeast"/>
          <w:jc w:val="center"/>
        </w:trPr>
        <w:tc>
          <w:tcPr>
            <w:tcW w:w="1294"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sz w:val="20"/>
                <w:szCs w:val="20"/>
              </w:rPr>
              <w:t>试验方法</w:t>
            </w:r>
          </w:p>
        </w:tc>
        <w:tc>
          <w:tcPr>
            <w:tcW w:w="353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a)采用氯化钠和蒸馏水或去离子水配制，浓度：(5±1)%（质量分数）；</w:t>
            </w:r>
          </w:p>
          <w:p>
            <w:pPr>
              <w:widowControl w:val="0"/>
              <w:spacing w:line="276" w:lineRule="auto"/>
              <w:jc w:val="both"/>
              <w:rPr>
                <w:sz w:val="20"/>
                <w:szCs w:val="20"/>
              </w:rPr>
            </w:pPr>
            <w:r>
              <w:rPr>
                <w:sz w:val="20"/>
                <w:szCs w:val="20"/>
              </w:rPr>
              <w:t>b) (35±2)℃下PH值： 6.5~7.2。（基于GB/T 2423.17 ）</w:t>
            </w:r>
          </w:p>
          <w:p>
            <w:pPr>
              <w:widowControl w:val="0"/>
              <w:spacing w:line="276" w:lineRule="auto"/>
              <w:jc w:val="both"/>
              <w:rPr>
                <w:sz w:val="20"/>
                <w:szCs w:val="20"/>
              </w:rPr>
            </w:pPr>
            <w:r>
              <w:rPr>
                <w:sz w:val="20"/>
                <w:szCs w:val="20"/>
              </w:rPr>
              <w:t>c)放入盐雾箱后，共循环6次，24h/循环，(35±2)℃下喷雾 8 h，然后静置 16 h，在一个循环的第 4 h 和第 5 h 之间进行低压上电监控。</w:t>
            </w:r>
          </w:p>
        </w:tc>
        <w:tc>
          <w:tcPr>
            <w:tcW w:w="353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a)采用氯化钠和蒸馏水或去离子水配制，浓度：(5±1)%（质量分数）；</w:t>
            </w:r>
          </w:p>
          <w:p>
            <w:pPr>
              <w:widowControl w:val="0"/>
              <w:spacing w:line="276" w:lineRule="auto"/>
              <w:jc w:val="both"/>
              <w:rPr>
                <w:sz w:val="20"/>
                <w:szCs w:val="20"/>
              </w:rPr>
            </w:pPr>
            <w:r>
              <w:rPr>
                <w:sz w:val="20"/>
                <w:szCs w:val="20"/>
              </w:rPr>
              <w:t>b) (35±2)℃下PH值： 6.5~7.2。</w:t>
            </w:r>
          </w:p>
          <w:p>
            <w:pPr>
              <w:widowControl w:val="0"/>
              <w:spacing w:line="276" w:lineRule="auto"/>
              <w:jc w:val="both"/>
              <w:rPr>
                <w:sz w:val="20"/>
                <w:szCs w:val="20"/>
              </w:rPr>
            </w:pPr>
            <w:r>
              <w:rPr>
                <w:sz w:val="20"/>
                <w:szCs w:val="20"/>
              </w:rPr>
              <w:t>c)放入盐雾箱后，共循环4次，7d/循环(35±2)℃下喷雾 2 h，然后在湿热条件下喷洒22h（(40±2)℃，(93±3)%RH），循环4次共4d，之后在标准大气压下保存3天 (23±2)℃， (50±5)%RH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3" w:hRule="atLeast"/>
          <w:jc w:val="center"/>
        </w:trPr>
        <w:tc>
          <w:tcPr>
            <w:tcW w:w="1294"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sz w:val="20"/>
                <w:szCs w:val="20"/>
              </w:rPr>
              <w:t>判定条件</w:t>
            </w:r>
          </w:p>
        </w:tc>
        <w:tc>
          <w:tcPr>
            <w:tcW w:w="353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a)无泄漏、外壳破裂、起火或爆炸现象；</w:t>
            </w:r>
          </w:p>
          <w:p>
            <w:pPr>
              <w:widowControl w:val="0"/>
              <w:spacing w:line="276" w:lineRule="auto"/>
              <w:jc w:val="both"/>
              <w:rPr>
                <w:sz w:val="20"/>
                <w:szCs w:val="20"/>
              </w:rPr>
            </w:pPr>
            <w:r>
              <w:rPr>
                <w:sz w:val="20"/>
                <w:szCs w:val="20"/>
              </w:rPr>
              <w:t>b)试验后的绝缘电阻值≥ 100 Ω/V。</w:t>
            </w:r>
          </w:p>
        </w:tc>
        <w:tc>
          <w:tcPr>
            <w:tcW w:w="353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无爆炸、起火、冒烟、漏液、破裂；无有毒气体释放等</w:t>
            </w:r>
          </w:p>
        </w:tc>
      </w:tr>
    </w:tbl>
    <w:p>
      <w:pPr>
        <w:spacing w:line="360" w:lineRule="auto"/>
        <w:ind w:firstLine="420"/>
        <w:jc w:val="both"/>
        <w:rPr>
          <w:rFonts w:ascii="宋体" w:hAnsi="宋体"/>
          <w:szCs w:val="21"/>
        </w:rPr>
      </w:pPr>
      <w:r>
        <w:rPr>
          <w:rFonts w:hint="eastAsia" w:ascii="宋体" w:hAnsi="宋体"/>
          <w:szCs w:val="21"/>
        </w:rPr>
        <w:t>分析：</w:t>
      </w:r>
      <w:r>
        <w:rPr>
          <w:rFonts w:ascii="宋体" w:hAnsi="宋体"/>
          <w:szCs w:val="21"/>
        </w:rPr>
        <w:t xml:space="preserve">国际、国内标准的盐溶液要求均为 </w:t>
      </w:r>
      <w:r>
        <w:rPr>
          <w:szCs w:val="21"/>
        </w:rPr>
        <w:t>(5±1)%（</w:t>
      </w:r>
      <w:r>
        <w:rPr>
          <w:rFonts w:ascii="宋体" w:hAnsi="宋体"/>
          <w:szCs w:val="21"/>
        </w:rPr>
        <w:t>质量分数</w:t>
      </w:r>
      <w:r>
        <w:rPr>
          <w:szCs w:val="21"/>
        </w:rPr>
        <w:t>）</w:t>
      </w:r>
      <w:r>
        <w:rPr>
          <w:rFonts w:ascii="宋体" w:hAnsi="宋体"/>
          <w:szCs w:val="21"/>
        </w:rPr>
        <w:t>；温度均为</w:t>
      </w:r>
      <w:r>
        <w:rPr>
          <w:szCs w:val="21"/>
        </w:rPr>
        <w:t>(35±2)℃；(35±2)℃</w:t>
      </w:r>
      <w:r>
        <w:rPr>
          <w:rFonts w:ascii="宋体" w:hAnsi="宋体"/>
          <w:szCs w:val="21"/>
        </w:rPr>
        <w:t>下</w:t>
      </w:r>
      <w:r>
        <w:rPr>
          <w:szCs w:val="21"/>
        </w:rPr>
        <w:t>PH</w:t>
      </w:r>
      <w:r>
        <w:rPr>
          <w:rFonts w:ascii="宋体" w:hAnsi="宋体"/>
          <w:szCs w:val="21"/>
        </w:rPr>
        <w:t>值：</w:t>
      </w:r>
      <w:r>
        <w:rPr>
          <w:szCs w:val="21"/>
        </w:rPr>
        <w:t>6.5~7.2</w:t>
      </w:r>
      <w:r>
        <w:rPr>
          <w:rFonts w:ascii="宋体" w:hAnsi="宋体"/>
          <w:szCs w:val="21"/>
        </w:rPr>
        <w:t>，模拟</w:t>
      </w:r>
      <w:r>
        <w:rPr>
          <w:rFonts w:hint="eastAsia" w:ascii="宋体" w:hAnsi="宋体"/>
          <w:szCs w:val="21"/>
        </w:rPr>
        <w:t>中性盐雾环境；</w:t>
      </w:r>
      <w:r>
        <w:rPr>
          <w:rFonts w:ascii="宋体" w:hAnsi="宋体"/>
          <w:szCs w:val="21"/>
        </w:rPr>
        <w:t>喷雾量结合整车的实际使用工况及电池系统在整车上的布置综合考虑，</w:t>
      </w:r>
      <w:r>
        <w:rPr>
          <w:szCs w:val="21"/>
        </w:rPr>
        <w:t>GB</w:t>
      </w:r>
      <w:r>
        <w:rPr>
          <w:rFonts w:ascii="宋体" w:hAnsi="宋体"/>
          <w:szCs w:val="21"/>
        </w:rPr>
        <w:t>保持与国际标准同步。</w:t>
      </w:r>
      <w:r>
        <w:rPr>
          <w:rFonts w:hint="eastAsia" w:ascii="宋体" w:hAnsi="宋体"/>
          <w:szCs w:val="21"/>
        </w:rPr>
        <w:t>因此维持现行标准内容不变。</w:t>
      </w:r>
    </w:p>
    <w:bookmarkEnd w:id="58"/>
    <w:p>
      <w:pPr>
        <w:pStyle w:val="19"/>
        <w:numPr>
          <w:ilvl w:val="0"/>
          <w:numId w:val="10"/>
        </w:numPr>
        <w:spacing w:line="400" w:lineRule="exact"/>
        <w:rPr>
          <w:rFonts w:ascii="宋体" w:hAnsi="宋体"/>
        </w:rPr>
      </w:pPr>
      <w:r>
        <w:rPr>
          <w:rFonts w:hint="eastAsia" w:ascii="宋体" w:hAnsi="宋体"/>
        </w:rPr>
        <w:t>高海拔</w:t>
      </w:r>
    </w:p>
    <w:p>
      <w:pPr>
        <w:spacing w:line="360" w:lineRule="auto"/>
        <w:ind w:firstLine="400"/>
        <w:jc w:val="center"/>
        <w:rPr>
          <w:sz w:val="20"/>
        </w:rPr>
      </w:pPr>
      <w:r>
        <w:rPr>
          <w:sz w:val="20"/>
        </w:rPr>
        <w:t>表</w:t>
      </w:r>
      <w:r>
        <w:rPr>
          <w:rFonts w:hint="eastAsia"/>
          <w:sz w:val="20"/>
        </w:rPr>
        <w:t>2</w:t>
      </w:r>
      <w:r>
        <w:rPr>
          <w:sz w:val="20"/>
        </w:rPr>
        <w:t>9</w:t>
      </w:r>
      <w:r>
        <w:rPr>
          <w:rFonts w:hint="eastAsia"/>
          <w:sz w:val="20"/>
        </w:rPr>
        <w:t>：电池包或系统高海拔测试对比</w:t>
      </w:r>
    </w:p>
    <w:tbl>
      <w:tblPr>
        <w:tblStyle w:val="9"/>
        <w:tblW w:w="829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88"/>
        <w:gridCol w:w="3444"/>
        <w:gridCol w:w="1239"/>
        <w:gridCol w:w="1214"/>
        <w:gridCol w:w="12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rFonts w:hint="eastAsia"/>
                <w:sz w:val="20"/>
                <w:szCs w:val="20"/>
              </w:rPr>
              <w:t>标准</w:t>
            </w:r>
          </w:p>
        </w:tc>
        <w:tc>
          <w:tcPr>
            <w:tcW w:w="345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szCs w:val="21"/>
              </w:rPr>
              <w:t>GB 38031</w:t>
            </w:r>
            <w:r>
              <w:rPr>
                <w:rFonts w:hint="eastAsia"/>
                <w:szCs w:val="21"/>
                <w:lang w:eastAsia="zh-CN"/>
              </w:rPr>
              <w:t>—</w:t>
            </w:r>
            <w:r>
              <w:rPr>
                <w:szCs w:val="21"/>
              </w:rPr>
              <w:t>202</w:t>
            </w:r>
            <w:r>
              <w:rPr>
                <w:rFonts w:hint="eastAsia"/>
                <w:szCs w:val="21"/>
                <w:lang w:val="en-US" w:eastAsia="zh-CN"/>
              </w:rPr>
              <w:t>0</w:t>
            </w:r>
          </w:p>
        </w:tc>
        <w:tc>
          <w:tcPr>
            <w:tcW w:w="121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sz w:val="20"/>
                <w:szCs w:val="20"/>
              </w:rPr>
              <w:t>ISO 6469-1:2019</w:t>
            </w:r>
          </w:p>
        </w:tc>
        <w:tc>
          <w:tcPr>
            <w:tcW w:w="121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sz w:val="20"/>
                <w:szCs w:val="20"/>
              </w:rPr>
              <w:t>EVS-GTR</w:t>
            </w:r>
          </w:p>
        </w:tc>
        <w:tc>
          <w:tcPr>
            <w:tcW w:w="121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sz w:val="20"/>
                <w:szCs w:val="20"/>
              </w:rPr>
            </w:pPr>
            <w:r>
              <w:rPr>
                <w:sz w:val="20"/>
                <w:szCs w:val="20"/>
              </w:rPr>
              <w:t>UN R100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rFonts w:hint="eastAsia"/>
                <w:sz w:val="20"/>
                <w:szCs w:val="20"/>
              </w:rPr>
              <w:t>电池状态</w:t>
            </w:r>
          </w:p>
        </w:tc>
        <w:tc>
          <w:tcPr>
            <w:tcW w:w="345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rFonts w:hint="eastAsia"/>
                <w:sz w:val="20"/>
                <w:szCs w:val="20"/>
              </w:rPr>
              <w:t>完全充电状态</w:t>
            </w:r>
          </w:p>
        </w:tc>
        <w:tc>
          <w:tcPr>
            <w:tcW w:w="3645" w:type="dxa"/>
            <w:gridSpan w:val="3"/>
            <w:vMerge w:val="restart"/>
            <w:tcBorders>
              <w:top w:val="single" w:color="auto" w:sz="4" w:space="0"/>
              <w:left w:val="single" w:color="auto" w:sz="4" w:space="0"/>
              <w:right w:val="single" w:color="auto" w:sz="4" w:space="0"/>
            </w:tcBorders>
            <w:vAlign w:val="center"/>
          </w:tcPr>
          <w:p>
            <w:pPr>
              <w:widowControl w:val="0"/>
              <w:spacing w:line="276" w:lineRule="auto"/>
              <w:rPr>
                <w:sz w:val="20"/>
                <w:szCs w:val="20"/>
              </w:rPr>
            </w:pPr>
            <w:r>
              <w:rPr>
                <w:rFonts w:hint="eastAsia"/>
                <w:sz w:val="20"/>
                <w:szCs w:val="20"/>
              </w:rPr>
              <w:t>N</w:t>
            </w:r>
            <w:r>
              <w:rPr>
                <w:sz w:val="20"/>
                <w:szCs w:val="20"/>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rFonts w:hint="eastAsia"/>
                <w:sz w:val="20"/>
                <w:szCs w:val="20"/>
              </w:rPr>
              <w:t>测试方法</w:t>
            </w:r>
          </w:p>
        </w:tc>
        <w:tc>
          <w:tcPr>
            <w:tcW w:w="345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sz w:val="20"/>
                <w:szCs w:val="20"/>
              </w:rPr>
            </w:pPr>
            <w:r>
              <w:rPr>
                <w:sz w:val="20"/>
                <w:szCs w:val="20"/>
              </w:rPr>
              <w:t>a)室温；</w:t>
            </w:r>
          </w:p>
          <w:p>
            <w:pPr>
              <w:widowControl w:val="0"/>
              <w:spacing w:line="276" w:lineRule="auto"/>
              <w:jc w:val="both"/>
              <w:rPr>
                <w:sz w:val="20"/>
                <w:szCs w:val="20"/>
              </w:rPr>
            </w:pPr>
            <w:r>
              <w:rPr>
                <w:sz w:val="20"/>
                <w:szCs w:val="20"/>
              </w:rPr>
              <w:t>b)海拔4000m或等同气压（61.2kPa）；</w:t>
            </w:r>
          </w:p>
          <w:p>
            <w:pPr>
              <w:widowControl w:val="0"/>
              <w:spacing w:line="276" w:lineRule="auto"/>
              <w:jc w:val="both"/>
              <w:rPr>
                <w:sz w:val="20"/>
                <w:szCs w:val="20"/>
              </w:rPr>
            </w:pPr>
            <w:r>
              <w:rPr>
                <w:sz w:val="20"/>
                <w:szCs w:val="20"/>
              </w:rPr>
              <w:t>c）静置5h；</w:t>
            </w:r>
          </w:p>
          <w:p>
            <w:pPr>
              <w:widowControl w:val="0"/>
              <w:spacing w:line="276" w:lineRule="auto"/>
              <w:jc w:val="both"/>
              <w:rPr>
                <w:sz w:val="20"/>
                <w:szCs w:val="20"/>
              </w:rPr>
            </w:pPr>
            <w:r>
              <w:rPr>
                <w:sz w:val="20"/>
                <w:szCs w:val="20"/>
              </w:rPr>
              <w:t>d)以大于1/3C电流放电至截止电压；</w:t>
            </w:r>
          </w:p>
          <w:p>
            <w:pPr>
              <w:widowControl w:val="0"/>
              <w:spacing w:line="276" w:lineRule="auto"/>
              <w:jc w:val="both"/>
              <w:rPr>
                <w:rFonts w:hint="eastAsia" w:eastAsia="宋体"/>
                <w:sz w:val="20"/>
                <w:szCs w:val="20"/>
                <w:lang w:eastAsia="zh-CN"/>
              </w:rPr>
            </w:pPr>
            <w:r>
              <w:rPr>
                <w:rFonts w:hint="eastAsia"/>
                <w:sz w:val="20"/>
                <w:szCs w:val="20"/>
                <w:lang w:val="en-US" w:eastAsia="zh-CN"/>
              </w:rPr>
              <w:t>e</w:t>
            </w:r>
            <w:r>
              <w:rPr>
                <w:sz w:val="20"/>
                <w:szCs w:val="20"/>
              </w:rPr>
              <w:t>) 观察2h</w:t>
            </w:r>
            <w:r>
              <w:rPr>
                <w:rFonts w:hint="eastAsia"/>
                <w:sz w:val="20"/>
                <w:szCs w:val="20"/>
                <w:lang w:eastAsia="zh-CN"/>
              </w:rPr>
              <w:t>。</w:t>
            </w:r>
          </w:p>
        </w:tc>
        <w:tc>
          <w:tcPr>
            <w:tcW w:w="3645" w:type="dxa"/>
            <w:gridSpan w:val="3"/>
            <w:vMerge w:val="continue"/>
            <w:tcBorders>
              <w:left w:val="single" w:color="auto" w:sz="4" w:space="0"/>
              <w:right w:val="single" w:color="auto" w:sz="4" w:space="0"/>
            </w:tcBorders>
            <w:vAlign w:val="center"/>
          </w:tcPr>
          <w:p>
            <w:pPr>
              <w:spacing w:line="276" w:lineRule="auto"/>
              <w:ind w:firstLine="320"/>
              <w:textAlignment w:val="center"/>
              <w:rPr>
                <w:rFonts w:ascii="TimesNewRomanPSMT" w:hAnsi="TimesNewRomanPSMT"/>
                <w:sz w:val="16"/>
                <w:szCs w:val="1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center"/>
              <w:rPr>
                <w:sz w:val="20"/>
                <w:szCs w:val="20"/>
              </w:rPr>
            </w:pPr>
            <w:r>
              <w:rPr>
                <w:rFonts w:hint="eastAsia"/>
                <w:sz w:val="20"/>
                <w:szCs w:val="20"/>
              </w:rPr>
              <w:t>判定方法</w:t>
            </w:r>
          </w:p>
        </w:tc>
        <w:tc>
          <w:tcPr>
            <w:tcW w:w="3458" w:type="dxa"/>
            <w:tcBorders>
              <w:top w:val="single" w:color="auto" w:sz="4" w:space="0"/>
              <w:left w:val="single" w:color="auto" w:sz="4" w:space="0"/>
              <w:bottom w:val="single" w:color="auto" w:sz="4" w:space="0"/>
              <w:right w:val="single" w:color="auto" w:sz="4" w:space="0"/>
            </w:tcBorders>
            <w:vAlign w:val="center"/>
          </w:tcPr>
          <w:p>
            <w:pPr>
              <w:widowControl w:val="0"/>
              <w:spacing w:line="276" w:lineRule="auto"/>
              <w:jc w:val="both"/>
              <w:rPr>
                <w:rFonts w:hint="eastAsia" w:eastAsia="宋体"/>
                <w:sz w:val="20"/>
                <w:szCs w:val="20"/>
                <w:lang w:eastAsia="zh-CN"/>
              </w:rPr>
            </w:pPr>
            <w:r>
              <w:rPr>
                <w:rFonts w:hint="eastAsia"/>
                <w:szCs w:val="21"/>
                <w:lang w:bidi="ar"/>
              </w:rPr>
              <w:t>测试过程中无破裂（高压电池）、电解液泄漏、排气，起火或者爆炸。绝缘电阻不低于</w:t>
            </w:r>
            <w:r>
              <w:rPr>
                <w:szCs w:val="21"/>
                <w:lang w:bidi="ar"/>
              </w:rPr>
              <w:t>100Ω/V</w:t>
            </w:r>
            <w:r>
              <w:rPr>
                <w:rFonts w:hint="eastAsia"/>
                <w:szCs w:val="21"/>
                <w:lang w:eastAsia="zh-CN" w:bidi="ar"/>
              </w:rPr>
              <w:t>。</w:t>
            </w:r>
          </w:p>
        </w:tc>
        <w:tc>
          <w:tcPr>
            <w:tcW w:w="3645" w:type="dxa"/>
            <w:gridSpan w:val="3"/>
            <w:vMerge w:val="continue"/>
            <w:tcBorders>
              <w:left w:val="single" w:color="auto" w:sz="4" w:space="0"/>
              <w:bottom w:val="single" w:color="auto" w:sz="4" w:space="0"/>
              <w:right w:val="single" w:color="auto" w:sz="4" w:space="0"/>
            </w:tcBorders>
            <w:vAlign w:val="center"/>
          </w:tcPr>
          <w:p>
            <w:pPr>
              <w:spacing w:line="276" w:lineRule="auto"/>
              <w:ind w:firstLine="320"/>
              <w:textAlignment w:val="center"/>
              <w:rPr>
                <w:rFonts w:ascii="TimesNewRomanPSMT" w:hAnsi="TimesNewRomanPSMT"/>
                <w:sz w:val="16"/>
                <w:szCs w:val="16"/>
              </w:rPr>
            </w:pPr>
          </w:p>
        </w:tc>
      </w:tr>
    </w:tbl>
    <w:p>
      <w:pPr>
        <w:spacing w:line="360" w:lineRule="auto"/>
        <w:ind w:firstLine="420"/>
        <w:jc w:val="both"/>
        <w:rPr>
          <w:rFonts w:ascii="宋体" w:hAnsi="宋体"/>
        </w:rPr>
      </w:pPr>
      <w:r>
        <w:rPr>
          <w:rFonts w:hint="default" w:ascii="Times New Roman" w:hAnsi="Times New Roman" w:cs="Times New Roman"/>
        </w:rPr>
        <w:t>仅GB 38031中提</w:t>
      </w:r>
      <w:r>
        <w:rPr>
          <w:rFonts w:hint="eastAsia" w:ascii="宋体" w:hAnsi="宋体"/>
        </w:rPr>
        <w:t xml:space="preserve">到高海拔测试，保持原标准不变。 </w:t>
      </w:r>
    </w:p>
    <w:p>
      <w:pPr>
        <w:pStyle w:val="19"/>
        <w:numPr>
          <w:ilvl w:val="0"/>
          <w:numId w:val="10"/>
        </w:numPr>
        <w:spacing w:line="400" w:lineRule="exact"/>
        <w:rPr>
          <w:rFonts w:ascii="宋体" w:hAnsi="宋体"/>
        </w:rPr>
      </w:pPr>
      <w:r>
        <w:rPr>
          <w:rFonts w:hint="eastAsia" w:ascii="宋体" w:hAnsi="宋体"/>
        </w:rPr>
        <w:t>过温保护</w:t>
      </w:r>
    </w:p>
    <w:p>
      <w:pPr>
        <w:spacing w:line="360" w:lineRule="auto"/>
        <w:ind w:firstLine="420"/>
        <w:jc w:val="both"/>
        <w:rPr>
          <w:rFonts w:ascii="宋体" w:hAnsi="宋体"/>
        </w:rPr>
      </w:pPr>
      <w:r>
        <w:rPr>
          <w:rFonts w:hint="eastAsia" w:ascii="宋体" w:hAnsi="宋体"/>
        </w:rPr>
        <w:t>过</w:t>
      </w:r>
      <w:r>
        <w:rPr>
          <w:rFonts w:ascii="宋体" w:hAnsi="宋体"/>
        </w:rPr>
        <w:t>温保护为验证动力电池内部过热的场景下，电池包保护功能是否起作用。测试方法对比情况如表</w:t>
      </w:r>
      <w:r>
        <w:rPr>
          <w:rFonts w:hint="eastAsia"/>
          <w:sz w:val="20"/>
          <w:szCs w:val="20"/>
        </w:rPr>
        <w:t>30</w:t>
      </w:r>
      <w:r>
        <w:rPr>
          <w:rFonts w:ascii="宋体" w:hAnsi="宋体"/>
        </w:rPr>
        <w:t>所示。</w:t>
      </w:r>
    </w:p>
    <w:p>
      <w:pPr>
        <w:spacing w:line="360" w:lineRule="auto"/>
        <w:ind w:firstLine="400"/>
        <w:jc w:val="center"/>
        <w:rPr>
          <w:sz w:val="20"/>
        </w:rPr>
      </w:pPr>
      <w:r>
        <w:rPr>
          <w:sz w:val="20"/>
        </w:rPr>
        <w:t>表30</w:t>
      </w:r>
      <w:r>
        <w:rPr>
          <w:rFonts w:hint="eastAsia"/>
          <w:sz w:val="20"/>
        </w:rPr>
        <w:t>：电池包或系统</w:t>
      </w:r>
      <w:r>
        <w:rPr>
          <w:sz w:val="20"/>
        </w:rPr>
        <w:t>过温保护测试对比</w:t>
      </w:r>
    </w:p>
    <w:tbl>
      <w:tblPr>
        <w:tblStyle w:val="9"/>
        <w:tblpPr w:leftFromText="180" w:rightFromText="180" w:vertAnchor="text" w:tblpXSpec="center" w:tblpY="1"/>
        <w:tblOverlap w:val="never"/>
        <w:tblW w:w="83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2410"/>
        <w:gridCol w:w="2268"/>
        <w:gridCol w:w="1276"/>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trPr>
        <w:tc>
          <w:tcPr>
            <w:tcW w:w="1129" w:type="dxa"/>
            <w:shd w:val="clear" w:color="auto" w:fill="auto"/>
            <w:vAlign w:val="center"/>
          </w:tcPr>
          <w:p>
            <w:pPr>
              <w:spacing w:line="276" w:lineRule="auto"/>
              <w:jc w:val="center"/>
              <w:rPr>
                <w:sz w:val="20"/>
                <w:szCs w:val="20"/>
              </w:rPr>
            </w:pPr>
            <w:r>
              <w:rPr>
                <w:rFonts w:hint="eastAsia"/>
                <w:sz w:val="20"/>
                <w:szCs w:val="20"/>
              </w:rPr>
              <w:t>标准</w:t>
            </w:r>
          </w:p>
        </w:tc>
        <w:tc>
          <w:tcPr>
            <w:tcW w:w="2410" w:type="dxa"/>
            <w:shd w:val="clear" w:color="auto" w:fill="auto"/>
            <w:vAlign w:val="center"/>
          </w:tcPr>
          <w:p>
            <w:pPr>
              <w:spacing w:line="276" w:lineRule="auto"/>
              <w:jc w:val="center"/>
              <w:rPr>
                <w:sz w:val="20"/>
                <w:szCs w:val="20"/>
              </w:rPr>
            </w:pPr>
            <w:r>
              <w:rPr>
                <w:szCs w:val="21"/>
              </w:rPr>
              <w:t>GB 38031</w:t>
            </w:r>
            <w:r>
              <w:rPr>
                <w:rFonts w:hint="eastAsia"/>
                <w:szCs w:val="21"/>
                <w:lang w:eastAsia="zh-CN"/>
              </w:rPr>
              <w:t>—</w:t>
            </w:r>
            <w:r>
              <w:rPr>
                <w:szCs w:val="21"/>
              </w:rPr>
              <w:t>202</w:t>
            </w:r>
            <w:r>
              <w:rPr>
                <w:rFonts w:hint="eastAsia"/>
                <w:szCs w:val="21"/>
                <w:lang w:val="en-US" w:eastAsia="zh-CN"/>
              </w:rPr>
              <w:t>0</w:t>
            </w:r>
          </w:p>
        </w:tc>
        <w:tc>
          <w:tcPr>
            <w:tcW w:w="2268" w:type="dxa"/>
            <w:shd w:val="clear" w:color="auto" w:fill="auto"/>
            <w:vAlign w:val="center"/>
          </w:tcPr>
          <w:p>
            <w:pPr>
              <w:spacing w:line="276" w:lineRule="auto"/>
              <w:ind w:right="-105" w:rightChars="-50"/>
              <w:jc w:val="center"/>
              <w:rPr>
                <w:sz w:val="20"/>
                <w:szCs w:val="20"/>
              </w:rPr>
            </w:pPr>
            <w:r>
              <w:rPr>
                <w:sz w:val="20"/>
                <w:szCs w:val="20"/>
              </w:rPr>
              <w:t>ISO 6469-1:2019</w:t>
            </w:r>
          </w:p>
        </w:tc>
        <w:tc>
          <w:tcPr>
            <w:tcW w:w="1276" w:type="dxa"/>
            <w:shd w:val="clear" w:color="auto" w:fill="auto"/>
            <w:vAlign w:val="center"/>
          </w:tcPr>
          <w:p>
            <w:pPr>
              <w:spacing w:line="276" w:lineRule="auto"/>
              <w:jc w:val="center"/>
              <w:rPr>
                <w:sz w:val="20"/>
                <w:szCs w:val="20"/>
              </w:rPr>
            </w:pPr>
            <w:r>
              <w:rPr>
                <w:sz w:val="20"/>
                <w:szCs w:val="20"/>
              </w:rPr>
              <w:t>EVS-GTR</w:t>
            </w:r>
          </w:p>
        </w:tc>
        <w:tc>
          <w:tcPr>
            <w:tcW w:w="1278" w:type="dxa"/>
            <w:shd w:val="clear" w:color="auto" w:fill="auto"/>
            <w:vAlign w:val="center"/>
          </w:tcPr>
          <w:p>
            <w:pPr>
              <w:spacing w:line="276" w:lineRule="auto"/>
              <w:jc w:val="center"/>
              <w:rPr>
                <w:sz w:val="20"/>
                <w:szCs w:val="20"/>
              </w:rPr>
            </w:pPr>
            <w:r>
              <w:rPr>
                <w:sz w:val="20"/>
                <w:szCs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129" w:type="dxa"/>
            <w:shd w:val="clear" w:color="auto" w:fill="auto"/>
            <w:vAlign w:val="center"/>
          </w:tcPr>
          <w:p>
            <w:pPr>
              <w:widowControl w:val="0"/>
              <w:spacing w:line="276" w:lineRule="auto"/>
              <w:jc w:val="center"/>
              <w:rPr>
                <w:sz w:val="20"/>
                <w:szCs w:val="20"/>
              </w:rPr>
            </w:pPr>
            <w:r>
              <w:rPr>
                <w:sz w:val="20"/>
                <w:szCs w:val="20"/>
              </w:rPr>
              <w:t>试验对象</w:t>
            </w:r>
          </w:p>
        </w:tc>
        <w:tc>
          <w:tcPr>
            <w:tcW w:w="2410" w:type="dxa"/>
            <w:shd w:val="clear" w:color="auto" w:fill="auto"/>
            <w:vAlign w:val="center"/>
          </w:tcPr>
          <w:p>
            <w:pPr>
              <w:widowControl w:val="0"/>
              <w:spacing w:line="276" w:lineRule="auto"/>
              <w:jc w:val="both"/>
              <w:rPr>
                <w:sz w:val="20"/>
                <w:szCs w:val="20"/>
              </w:rPr>
            </w:pPr>
            <w:r>
              <w:rPr>
                <w:sz w:val="20"/>
                <w:szCs w:val="20"/>
              </w:rPr>
              <w:t>电池系统</w:t>
            </w:r>
          </w:p>
        </w:tc>
        <w:tc>
          <w:tcPr>
            <w:tcW w:w="2268" w:type="dxa"/>
            <w:shd w:val="clear" w:color="auto" w:fill="auto"/>
            <w:vAlign w:val="center"/>
          </w:tcPr>
          <w:p>
            <w:pPr>
              <w:widowControl w:val="0"/>
              <w:spacing w:line="276" w:lineRule="auto"/>
              <w:ind w:right="-105" w:rightChars="-50"/>
              <w:jc w:val="both"/>
              <w:rPr>
                <w:sz w:val="20"/>
                <w:szCs w:val="20"/>
              </w:rPr>
            </w:pPr>
            <w:r>
              <w:rPr>
                <w:sz w:val="20"/>
                <w:szCs w:val="20"/>
              </w:rPr>
              <w:t>电池系统</w:t>
            </w:r>
          </w:p>
        </w:tc>
        <w:tc>
          <w:tcPr>
            <w:tcW w:w="2554" w:type="dxa"/>
            <w:gridSpan w:val="2"/>
            <w:shd w:val="clear" w:color="auto" w:fill="auto"/>
            <w:vAlign w:val="center"/>
          </w:tcPr>
          <w:p>
            <w:pPr>
              <w:widowControl w:val="0"/>
              <w:spacing w:line="276" w:lineRule="auto"/>
              <w:jc w:val="both"/>
              <w:rPr>
                <w:sz w:val="20"/>
                <w:szCs w:val="20"/>
              </w:rPr>
            </w:pPr>
            <w:r>
              <w:rPr>
                <w:sz w:val="20"/>
                <w:szCs w:val="20"/>
              </w:rPr>
              <w:t>电池系统、整车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129" w:type="dxa"/>
            <w:shd w:val="clear" w:color="auto" w:fill="auto"/>
            <w:vAlign w:val="center"/>
          </w:tcPr>
          <w:p>
            <w:pPr>
              <w:widowControl w:val="0"/>
              <w:spacing w:line="276" w:lineRule="auto"/>
              <w:jc w:val="center"/>
              <w:rPr>
                <w:sz w:val="20"/>
                <w:szCs w:val="20"/>
              </w:rPr>
            </w:pPr>
            <w:r>
              <w:rPr>
                <w:sz w:val="20"/>
                <w:szCs w:val="20"/>
              </w:rPr>
              <w:t>SOC状态要求</w:t>
            </w:r>
          </w:p>
        </w:tc>
        <w:tc>
          <w:tcPr>
            <w:tcW w:w="2410" w:type="dxa"/>
            <w:shd w:val="clear" w:color="auto" w:fill="auto"/>
            <w:vAlign w:val="center"/>
          </w:tcPr>
          <w:p>
            <w:pPr>
              <w:widowControl w:val="0"/>
              <w:spacing w:line="276" w:lineRule="auto"/>
              <w:jc w:val="both"/>
              <w:rPr>
                <w:sz w:val="20"/>
                <w:szCs w:val="20"/>
              </w:rPr>
            </w:pPr>
            <w:r>
              <w:rPr>
                <w:sz w:val="20"/>
                <w:szCs w:val="20"/>
              </w:rPr>
              <w:t>无特殊要求（</w:t>
            </w:r>
            <w:r>
              <w:rPr>
                <w:rFonts w:hint="eastAsia"/>
                <w:sz w:val="20"/>
                <w:szCs w:val="20"/>
              </w:rPr>
              <w:t>默认完全充电状态</w:t>
            </w:r>
            <w:r>
              <w:rPr>
                <w:sz w:val="20"/>
                <w:szCs w:val="20"/>
              </w:rPr>
              <w:t>）</w:t>
            </w:r>
          </w:p>
        </w:tc>
        <w:tc>
          <w:tcPr>
            <w:tcW w:w="2268" w:type="dxa"/>
            <w:shd w:val="clear" w:color="auto" w:fill="auto"/>
            <w:vAlign w:val="center"/>
          </w:tcPr>
          <w:p>
            <w:pPr>
              <w:widowControl w:val="0"/>
              <w:spacing w:line="276" w:lineRule="auto"/>
              <w:ind w:right="-105" w:rightChars="-50"/>
              <w:jc w:val="both"/>
              <w:rPr>
                <w:sz w:val="20"/>
                <w:szCs w:val="20"/>
              </w:rPr>
            </w:pPr>
            <w:r>
              <w:rPr>
                <w:sz w:val="20"/>
                <w:szCs w:val="20"/>
              </w:rPr>
              <w:t>/</w:t>
            </w:r>
          </w:p>
        </w:tc>
        <w:tc>
          <w:tcPr>
            <w:tcW w:w="2554" w:type="dxa"/>
            <w:gridSpan w:val="2"/>
            <w:shd w:val="clear" w:color="auto" w:fill="auto"/>
            <w:vAlign w:val="center"/>
          </w:tcPr>
          <w:p>
            <w:pPr>
              <w:widowControl w:val="0"/>
              <w:spacing w:line="276" w:lineRule="auto"/>
              <w:jc w:val="both"/>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129" w:type="dxa"/>
            <w:shd w:val="clear" w:color="auto" w:fill="auto"/>
            <w:vAlign w:val="center"/>
          </w:tcPr>
          <w:p>
            <w:pPr>
              <w:widowControl w:val="0"/>
              <w:spacing w:line="276" w:lineRule="auto"/>
              <w:jc w:val="center"/>
              <w:rPr>
                <w:sz w:val="20"/>
                <w:szCs w:val="20"/>
              </w:rPr>
            </w:pPr>
            <w:r>
              <w:rPr>
                <w:sz w:val="20"/>
                <w:szCs w:val="20"/>
              </w:rPr>
              <w:t>初始温度</w:t>
            </w:r>
          </w:p>
        </w:tc>
        <w:tc>
          <w:tcPr>
            <w:tcW w:w="2410" w:type="dxa"/>
            <w:shd w:val="clear" w:color="auto" w:fill="auto"/>
            <w:vAlign w:val="center"/>
          </w:tcPr>
          <w:p>
            <w:pPr>
              <w:widowControl w:val="0"/>
              <w:spacing w:line="276" w:lineRule="auto"/>
              <w:jc w:val="both"/>
              <w:rPr>
                <w:sz w:val="20"/>
                <w:szCs w:val="20"/>
              </w:rPr>
            </w:pPr>
            <w:r>
              <w:rPr>
                <w:sz w:val="20"/>
                <w:szCs w:val="20"/>
              </w:rPr>
              <w:t>20℃±10℃或更高的温度</w:t>
            </w:r>
          </w:p>
        </w:tc>
        <w:tc>
          <w:tcPr>
            <w:tcW w:w="2268" w:type="dxa"/>
            <w:shd w:val="clear" w:color="auto" w:fill="auto"/>
            <w:vAlign w:val="center"/>
          </w:tcPr>
          <w:p>
            <w:pPr>
              <w:widowControl w:val="0"/>
              <w:spacing w:line="276" w:lineRule="auto"/>
              <w:jc w:val="both"/>
              <w:rPr>
                <w:sz w:val="20"/>
                <w:szCs w:val="20"/>
              </w:rPr>
            </w:pPr>
            <w:r>
              <w:rPr>
                <w:sz w:val="20"/>
                <w:szCs w:val="20"/>
              </w:rPr>
              <w:t>室温及以上</w:t>
            </w:r>
          </w:p>
        </w:tc>
        <w:tc>
          <w:tcPr>
            <w:tcW w:w="2554" w:type="dxa"/>
            <w:gridSpan w:val="2"/>
            <w:shd w:val="clear" w:color="auto" w:fill="auto"/>
            <w:vAlign w:val="center"/>
          </w:tcPr>
          <w:p>
            <w:pPr>
              <w:widowControl w:val="0"/>
              <w:spacing w:line="276" w:lineRule="auto"/>
              <w:jc w:val="both"/>
              <w:rPr>
                <w:sz w:val="20"/>
                <w:szCs w:val="20"/>
              </w:rPr>
            </w:pPr>
            <w:r>
              <w:rPr>
                <w:sz w:val="20"/>
                <w:szCs w:val="20"/>
              </w:rPr>
              <w:t>20℃±10℃或更高的温度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129" w:type="dxa"/>
            <w:shd w:val="clear" w:color="auto" w:fill="auto"/>
            <w:vAlign w:val="center"/>
          </w:tcPr>
          <w:p>
            <w:pPr>
              <w:widowControl w:val="0"/>
              <w:spacing w:line="276" w:lineRule="auto"/>
              <w:jc w:val="center"/>
              <w:rPr>
                <w:sz w:val="20"/>
                <w:szCs w:val="20"/>
              </w:rPr>
            </w:pPr>
            <w:r>
              <w:rPr>
                <w:sz w:val="20"/>
                <w:szCs w:val="20"/>
              </w:rPr>
              <w:t>试验前</w:t>
            </w:r>
          </w:p>
        </w:tc>
        <w:tc>
          <w:tcPr>
            <w:tcW w:w="2410" w:type="dxa"/>
            <w:shd w:val="clear" w:color="auto" w:fill="auto"/>
            <w:vAlign w:val="center"/>
          </w:tcPr>
          <w:p>
            <w:pPr>
              <w:widowControl w:val="0"/>
              <w:spacing w:line="276" w:lineRule="auto"/>
              <w:jc w:val="both"/>
              <w:rPr>
                <w:sz w:val="20"/>
                <w:szCs w:val="20"/>
              </w:rPr>
            </w:pPr>
            <w:r>
              <w:rPr>
                <w:sz w:val="20"/>
                <w:szCs w:val="20"/>
              </w:rPr>
              <w:t>所有影响被测试装置功能和与试验结果有关的保护装置都应处于工作状态。冷却系统除外</w:t>
            </w:r>
          </w:p>
        </w:tc>
        <w:tc>
          <w:tcPr>
            <w:tcW w:w="2268" w:type="dxa"/>
            <w:shd w:val="clear" w:color="auto" w:fill="auto"/>
            <w:vAlign w:val="center"/>
          </w:tcPr>
          <w:p>
            <w:pPr>
              <w:widowControl w:val="0"/>
              <w:spacing w:line="276" w:lineRule="auto"/>
              <w:jc w:val="both"/>
              <w:rPr>
                <w:sz w:val="20"/>
                <w:szCs w:val="20"/>
              </w:rPr>
            </w:pPr>
            <w:r>
              <w:rPr>
                <w:sz w:val="20"/>
                <w:szCs w:val="20"/>
              </w:rPr>
              <w:t>客户要求的热保护功能应启用，冷却系统应禁用</w:t>
            </w:r>
          </w:p>
        </w:tc>
        <w:tc>
          <w:tcPr>
            <w:tcW w:w="2554" w:type="dxa"/>
            <w:gridSpan w:val="2"/>
            <w:shd w:val="clear" w:color="auto" w:fill="auto"/>
            <w:vAlign w:val="center"/>
          </w:tcPr>
          <w:p>
            <w:pPr>
              <w:widowControl w:val="0"/>
              <w:spacing w:line="276" w:lineRule="auto"/>
              <w:jc w:val="both"/>
              <w:rPr>
                <w:sz w:val="20"/>
                <w:szCs w:val="20"/>
              </w:rPr>
            </w:pPr>
            <w:r>
              <w:rPr>
                <w:sz w:val="20"/>
                <w:szCs w:val="20"/>
              </w:rPr>
              <w:t>所有影响被测试设备功能和与试验结果有关的保护装置都应处于可操作状态。冷却系统停用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7" w:hRule="atLeast"/>
        </w:trPr>
        <w:tc>
          <w:tcPr>
            <w:tcW w:w="1129" w:type="dxa"/>
            <w:shd w:val="clear" w:color="auto" w:fill="auto"/>
            <w:vAlign w:val="center"/>
          </w:tcPr>
          <w:p>
            <w:pPr>
              <w:widowControl w:val="0"/>
              <w:spacing w:line="276" w:lineRule="auto"/>
              <w:jc w:val="center"/>
              <w:rPr>
                <w:sz w:val="20"/>
                <w:szCs w:val="20"/>
              </w:rPr>
            </w:pPr>
            <w:r>
              <w:rPr>
                <w:sz w:val="20"/>
                <w:szCs w:val="20"/>
              </w:rPr>
              <w:t>试验中</w:t>
            </w:r>
          </w:p>
        </w:tc>
        <w:tc>
          <w:tcPr>
            <w:tcW w:w="2410" w:type="dxa"/>
            <w:shd w:val="clear" w:color="auto" w:fill="auto"/>
            <w:vAlign w:val="center"/>
          </w:tcPr>
          <w:p>
            <w:pPr>
              <w:widowControl w:val="0"/>
              <w:spacing w:line="276" w:lineRule="auto"/>
              <w:jc w:val="both"/>
              <w:rPr>
                <w:sz w:val="20"/>
                <w:szCs w:val="20"/>
              </w:rPr>
            </w:pPr>
            <w:r>
              <w:rPr>
                <w:sz w:val="20"/>
                <w:szCs w:val="20"/>
              </w:rPr>
              <w:t>1）充放电升温：外部充放电设备进行连续充电和放电，尽可能快地升高电池的温度，直到试验结束；</w:t>
            </w:r>
          </w:p>
          <w:p>
            <w:pPr>
              <w:widowControl w:val="0"/>
              <w:spacing w:line="276" w:lineRule="auto"/>
              <w:jc w:val="both"/>
              <w:rPr>
                <w:sz w:val="20"/>
                <w:szCs w:val="20"/>
              </w:rPr>
            </w:pPr>
            <w:r>
              <w:rPr>
                <w:sz w:val="20"/>
                <w:szCs w:val="20"/>
              </w:rPr>
              <w:t>2）环境箱辅助升温：环境温度提高到温度保护阈值或最高工作温度，保持≥这一温度，直至试验结束；</w:t>
            </w:r>
          </w:p>
        </w:tc>
        <w:tc>
          <w:tcPr>
            <w:tcW w:w="2268" w:type="dxa"/>
            <w:shd w:val="clear" w:color="auto" w:fill="auto"/>
            <w:vAlign w:val="center"/>
          </w:tcPr>
          <w:p>
            <w:pPr>
              <w:widowControl w:val="0"/>
              <w:spacing w:line="276" w:lineRule="auto"/>
              <w:jc w:val="both"/>
              <w:rPr>
                <w:sz w:val="20"/>
                <w:szCs w:val="20"/>
              </w:rPr>
            </w:pPr>
            <w:r>
              <w:rPr>
                <w:sz w:val="20"/>
                <w:szCs w:val="20"/>
              </w:rPr>
              <w:t>1）充放电升温：DUT按最大适用电流速率进行充、放电，直到试验结束。</w:t>
            </w:r>
          </w:p>
          <w:p>
            <w:pPr>
              <w:widowControl w:val="0"/>
              <w:spacing w:line="276" w:lineRule="auto"/>
              <w:jc w:val="both"/>
              <w:rPr>
                <w:sz w:val="20"/>
                <w:szCs w:val="20"/>
              </w:rPr>
            </w:pPr>
            <w:r>
              <w:rPr>
                <w:sz w:val="20"/>
                <w:szCs w:val="20"/>
              </w:rPr>
              <w:t>2）环境箱辅助升温：环境温度提高到温度保护阈值或最高工作温度，保持≥这一温度，直至试验结束；</w:t>
            </w:r>
          </w:p>
        </w:tc>
        <w:tc>
          <w:tcPr>
            <w:tcW w:w="2554" w:type="dxa"/>
            <w:gridSpan w:val="2"/>
            <w:shd w:val="clear" w:color="auto" w:fill="auto"/>
            <w:vAlign w:val="center"/>
          </w:tcPr>
          <w:p>
            <w:pPr>
              <w:widowControl w:val="0"/>
              <w:spacing w:line="276" w:lineRule="auto"/>
              <w:jc w:val="both"/>
              <w:rPr>
                <w:sz w:val="20"/>
                <w:szCs w:val="20"/>
              </w:rPr>
            </w:pPr>
            <w:r>
              <w:rPr>
                <w:sz w:val="20"/>
                <w:szCs w:val="20"/>
              </w:rPr>
              <w:t>1）充放电升温：外部充放电设备进行连续充电和放电，尽可能快地升高电池的温度，直到试验结束；</w:t>
            </w:r>
          </w:p>
          <w:p>
            <w:pPr>
              <w:widowControl w:val="0"/>
              <w:spacing w:line="276" w:lineRule="auto"/>
              <w:jc w:val="both"/>
              <w:rPr>
                <w:sz w:val="20"/>
                <w:szCs w:val="20"/>
              </w:rPr>
            </w:pPr>
            <w:r>
              <w:rPr>
                <w:sz w:val="20"/>
                <w:szCs w:val="20"/>
              </w:rPr>
              <w:t>2）环境箱辅助升温：环境温度提高到温度保护阈值或最高工作温度，保持≥这一温度，直至试验结束；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trPr>
        <w:tc>
          <w:tcPr>
            <w:tcW w:w="1129" w:type="dxa"/>
            <w:shd w:val="clear" w:color="auto" w:fill="auto"/>
            <w:vAlign w:val="center"/>
          </w:tcPr>
          <w:p>
            <w:pPr>
              <w:widowControl w:val="0"/>
              <w:spacing w:line="276" w:lineRule="auto"/>
              <w:jc w:val="center"/>
              <w:rPr>
                <w:sz w:val="20"/>
                <w:szCs w:val="20"/>
              </w:rPr>
            </w:pPr>
            <w:r>
              <w:rPr>
                <w:sz w:val="20"/>
                <w:szCs w:val="20"/>
              </w:rPr>
              <w:t>截止条件</w:t>
            </w:r>
          </w:p>
        </w:tc>
        <w:tc>
          <w:tcPr>
            <w:tcW w:w="2410" w:type="dxa"/>
            <w:shd w:val="clear" w:color="auto" w:fill="auto"/>
            <w:vAlign w:val="center"/>
          </w:tcPr>
          <w:p>
            <w:pPr>
              <w:widowControl w:val="0"/>
              <w:spacing w:line="276" w:lineRule="auto"/>
              <w:jc w:val="both"/>
              <w:rPr>
                <w:sz w:val="20"/>
                <w:szCs w:val="20"/>
              </w:rPr>
            </w:pPr>
            <w:r>
              <w:rPr>
                <w:sz w:val="20"/>
                <w:szCs w:val="20"/>
              </w:rPr>
              <w:t>自动终止或限制充放电</w:t>
            </w:r>
            <w:r>
              <w:rPr>
                <w:rFonts w:hint="eastAsia"/>
                <w:sz w:val="20"/>
                <w:szCs w:val="20"/>
              </w:rPr>
              <w:t>；</w:t>
            </w:r>
          </w:p>
          <w:p>
            <w:pPr>
              <w:widowControl w:val="0"/>
              <w:spacing w:line="276" w:lineRule="auto"/>
              <w:jc w:val="both"/>
              <w:rPr>
                <w:sz w:val="20"/>
                <w:szCs w:val="20"/>
              </w:rPr>
            </w:pPr>
            <w:r>
              <w:rPr>
                <w:sz w:val="20"/>
                <w:szCs w:val="20"/>
              </w:rPr>
              <w:t>发出终止或限制充放电信号</w:t>
            </w:r>
            <w:r>
              <w:rPr>
                <w:rFonts w:hint="eastAsia"/>
                <w:sz w:val="20"/>
                <w:szCs w:val="20"/>
              </w:rPr>
              <w:t>；</w:t>
            </w:r>
          </w:p>
          <w:p>
            <w:pPr>
              <w:widowControl w:val="0"/>
              <w:spacing w:line="276" w:lineRule="auto"/>
              <w:jc w:val="both"/>
              <w:rPr>
                <w:rFonts w:hint="eastAsia" w:eastAsia="宋体"/>
                <w:sz w:val="20"/>
                <w:szCs w:val="20"/>
                <w:lang w:eastAsia="zh-CN"/>
              </w:rPr>
            </w:pPr>
            <w:r>
              <w:rPr>
                <w:sz w:val="20"/>
                <w:szCs w:val="20"/>
              </w:rPr>
              <w:t>温度变化2 h内小于4℃</w:t>
            </w:r>
            <w:r>
              <w:rPr>
                <w:rFonts w:hint="eastAsia"/>
                <w:sz w:val="20"/>
                <w:szCs w:val="20"/>
                <w:lang w:eastAsia="zh-CN"/>
              </w:rPr>
              <w:t>。</w:t>
            </w:r>
          </w:p>
        </w:tc>
        <w:tc>
          <w:tcPr>
            <w:tcW w:w="2268" w:type="dxa"/>
            <w:shd w:val="clear" w:color="auto" w:fill="auto"/>
            <w:vAlign w:val="center"/>
          </w:tcPr>
          <w:p>
            <w:pPr>
              <w:widowControl w:val="0"/>
              <w:spacing w:line="276" w:lineRule="auto"/>
              <w:jc w:val="both"/>
              <w:rPr>
                <w:sz w:val="20"/>
                <w:szCs w:val="20"/>
              </w:rPr>
            </w:pPr>
            <w:r>
              <w:rPr>
                <w:sz w:val="20"/>
                <w:szCs w:val="20"/>
              </w:rPr>
              <w:t>中断充放电电流，或将其降低到客户和供应商之间商定的非临界限值</w:t>
            </w:r>
            <w:r>
              <w:rPr>
                <w:rFonts w:hint="eastAsia"/>
                <w:sz w:val="20"/>
                <w:szCs w:val="20"/>
              </w:rPr>
              <w:t>；</w:t>
            </w:r>
          </w:p>
          <w:p>
            <w:pPr>
              <w:widowControl w:val="0"/>
              <w:spacing w:line="276" w:lineRule="auto"/>
              <w:jc w:val="both"/>
              <w:rPr>
                <w:sz w:val="20"/>
                <w:szCs w:val="20"/>
              </w:rPr>
            </w:pPr>
            <w:r>
              <w:rPr>
                <w:sz w:val="20"/>
                <w:szCs w:val="20"/>
              </w:rPr>
              <w:t>温度变化2 h内小于4K</w:t>
            </w:r>
            <w:r>
              <w:rPr>
                <w:rFonts w:hint="eastAsia"/>
                <w:sz w:val="20"/>
                <w:szCs w:val="20"/>
              </w:rPr>
              <w:t>；</w:t>
            </w:r>
          </w:p>
          <w:p>
            <w:pPr>
              <w:widowControl w:val="0"/>
              <w:spacing w:line="276" w:lineRule="auto"/>
              <w:jc w:val="both"/>
              <w:rPr>
                <w:rFonts w:hint="eastAsia" w:eastAsia="宋体"/>
                <w:sz w:val="20"/>
                <w:szCs w:val="20"/>
                <w:lang w:eastAsia="zh-CN"/>
              </w:rPr>
            </w:pPr>
            <w:r>
              <w:rPr>
                <w:sz w:val="20"/>
                <w:szCs w:val="20"/>
              </w:rPr>
              <w:t>DUT的最高温度超过了供应商和客户指定的上限（判定不合格）</w:t>
            </w:r>
            <w:r>
              <w:rPr>
                <w:rFonts w:hint="eastAsia"/>
                <w:sz w:val="20"/>
                <w:szCs w:val="20"/>
                <w:lang w:eastAsia="zh-CN"/>
              </w:rPr>
              <w:t>。</w:t>
            </w:r>
          </w:p>
        </w:tc>
        <w:tc>
          <w:tcPr>
            <w:tcW w:w="2554" w:type="dxa"/>
            <w:gridSpan w:val="2"/>
            <w:shd w:val="clear" w:color="auto" w:fill="auto"/>
            <w:vAlign w:val="center"/>
          </w:tcPr>
          <w:p>
            <w:pPr>
              <w:widowControl w:val="0"/>
              <w:spacing w:line="276" w:lineRule="auto"/>
              <w:jc w:val="both"/>
              <w:rPr>
                <w:rFonts w:hint="eastAsia" w:eastAsia="宋体"/>
                <w:sz w:val="20"/>
                <w:szCs w:val="20"/>
                <w:lang w:eastAsia="zh-CN"/>
              </w:rPr>
            </w:pPr>
            <w:r>
              <w:rPr>
                <w:sz w:val="20"/>
                <w:szCs w:val="20"/>
              </w:rPr>
              <w:t>抑制或限制充电</w:t>
            </w:r>
            <w:r>
              <w:rPr>
                <w:rFonts w:hint="eastAsia"/>
                <w:sz w:val="20"/>
                <w:szCs w:val="20"/>
                <w:lang w:eastAsia="zh-CN"/>
              </w:rPr>
              <w:t>；</w:t>
            </w:r>
          </w:p>
          <w:p>
            <w:pPr>
              <w:widowControl w:val="0"/>
              <w:spacing w:line="276" w:lineRule="auto"/>
              <w:jc w:val="both"/>
              <w:rPr>
                <w:rFonts w:hint="eastAsia" w:eastAsia="宋体"/>
                <w:sz w:val="20"/>
                <w:szCs w:val="20"/>
                <w:lang w:eastAsia="zh-CN"/>
              </w:rPr>
            </w:pPr>
            <w:r>
              <w:rPr>
                <w:sz w:val="20"/>
                <w:szCs w:val="20"/>
              </w:rPr>
              <w:t>温度变化2 h内小于4℃</w:t>
            </w:r>
            <w:r>
              <w:rPr>
                <w:rFonts w:hint="eastAsia"/>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29" w:type="dxa"/>
            <w:shd w:val="clear" w:color="auto" w:fill="auto"/>
            <w:vAlign w:val="center"/>
          </w:tcPr>
          <w:p>
            <w:pPr>
              <w:widowControl w:val="0"/>
              <w:spacing w:line="276" w:lineRule="auto"/>
              <w:jc w:val="center"/>
              <w:rPr>
                <w:sz w:val="20"/>
                <w:szCs w:val="20"/>
              </w:rPr>
            </w:pPr>
            <w:r>
              <w:rPr>
                <w:sz w:val="20"/>
                <w:szCs w:val="20"/>
              </w:rPr>
              <w:t>试验后</w:t>
            </w:r>
          </w:p>
        </w:tc>
        <w:tc>
          <w:tcPr>
            <w:tcW w:w="2410" w:type="dxa"/>
            <w:shd w:val="clear" w:color="auto" w:fill="auto"/>
            <w:vAlign w:val="center"/>
          </w:tcPr>
          <w:p>
            <w:pPr>
              <w:widowControl w:val="0"/>
              <w:spacing w:line="276" w:lineRule="auto"/>
              <w:jc w:val="both"/>
              <w:rPr>
                <w:sz w:val="20"/>
                <w:szCs w:val="20"/>
              </w:rPr>
            </w:pPr>
            <w:r>
              <w:rPr>
                <w:sz w:val="20"/>
                <w:szCs w:val="20"/>
              </w:rPr>
              <w:t>观察1h</w:t>
            </w:r>
          </w:p>
        </w:tc>
        <w:tc>
          <w:tcPr>
            <w:tcW w:w="2268" w:type="dxa"/>
            <w:shd w:val="clear" w:color="auto" w:fill="auto"/>
            <w:vAlign w:val="center"/>
          </w:tcPr>
          <w:p>
            <w:pPr>
              <w:widowControl w:val="0"/>
              <w:spacing w:line="276" w:lineRule="auto"/>
              <w:jc w:val="both"/>
              <w:rPr>
                <w:sz w:val="20"/>
                <w:szCs w:val="20"/>
              </w:rPr>
            </w:pPr>
            <w:r>
              <w:rPr>
                <w:sz w:val="20"/>
                <w:szCs w:val="20"/>
              </w:rPr>
              <w:t>/</w:t>
            </w:r>
          </w:p>
        </w:tc>
        <w:tc>
          <w:tcPr>
            <w:tcW w:w="2554" w:type="dxa"/>
            <w:gridSpan w:val="2"/>
            <w:shd w:val="clear" w:color="auto" w:fill="auto"/>
            <w:vAlign w:val="center"/>
          </w:tcPr>
          <w:p>
            <w:pPr>
              <w:widowControl w:val="0"/>
              <w:spacing w:line="276" w:lineRule="auto"/>
              <w:jc w:val="both"/>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7" w:hRule="atLeast"/>
        </w:trPr>
        <w:tc>
          <w:tcPr>
            <w:tcW w:w="1129" w:type="dxa"/>
            <w:shd w:val="clear" w:color="auto" w:fill="auto"/>
            <w:vAlign w:val="center"/>
          </w:tcPr>
          <w:p>
            <w:pPr>
              <w:widowControl w:val="0"/>
              <w:spacing w:line="276" w:lineRule="auto"/>
              <w:jc w:val="center"/>
              <w:rPr>
                <w:sz w:val="20"/>
                <w:szCs w:val="20"/>
              </w:rPr>
            </w:pPr>
            <w:r>
              <w:rPr>
                <w:rFonts w:hint="eastAsia"/>
                <w:sz w:val="20"/>
                <w:szCs w:val="20"/>
              </w:rPr>
              <w:t>判定条件</w:t>
            </w:r>
          </w:p>
        </w:tc>
        <w:tc>
          <w:tcPr>
            <w:tcW w:w="2410" w:type="dxa"/>
            <w:shd w:val="clear" w:color="auto" w:fill="auto"/>
            <w:vAlign w:val="center"/>
          </w:tcPr>
          <w:p>
            <w:pPr>
              <w:widowControl w:val="0"/>
              <w:spacing w:line="276" w:lineRule="auto"/>
              <w:jc w:val="both"/>
              <w:rPr>
                <w:sz w:val="20"/>
                <w:szCs w:val="20"/>
              </w:rPr>
            </w:pPr>
            <w:r>
              <w:rPr>
                <w:sz w:val="20"/>
                <w:szCs w:val="20"/>
              </w:rPr>
              <w:t>无泄漏、破裂、起火或爆炸</w:t>
            </w:r>
          </w:p>
          <w:p>
            <w:pPr>
              <w:widowControl w:val="0"/>
              <w:spacing w:line="276" w:lineRule="auto"/>
              <w:jc w:val="both"/>
              <w:rPr>
                <w:rFonts w:hint="eastAsia" w:eastAsia="宋体"/>
                <w:sz w:val="20"/>
                <w:szCs w:val="20"/>
                <w:lang w:eastAsia="zh-CN"/>
              </w:rPr>
            </w:pPr>
            <w:r>
              <w:rPr>
                <w:rFonts w:hint="eastAsia"/>
                <w:sz w:val="20"/>
                <w:szCs w:val="20"/>
              </w:rPr>
              <w:t>绝缘阻抗</w:t>
            </w:r>
            <w:r>
              <w:rPr>
                <w:sz w:val="20"/>
                <w:szCs w:val="20"/>
              </w:rPr>
              <w:t>≥100 Ω/V</w:t>
            </w:r>
            <w:r>
              <w:rPr>
                <w:rFonts w:hint="eastAsia"/>
                <w:sz w:val="20"/>
                <w:szCs w:val="20"/>
                <w:lang w:eastAsia="zh-CN"/>
              </w:rPr>
              <w:t>。</w:t>
            </w:r>
          </w:p>
        </w:tc>
        <w:tc>
          <w:tcPr>
            <w:tcW w:w="2268" w:type="dxa"/>
            <w:shd w:val="clear" w:color="auto" w:fill="auto"/>
            <w:vAlign w:val="center"/>
          </w:tcPr>
          <w:p>
            <w:pPr>
              <w:widowControl w:val="0"/>
              <w:spacing w:line="276" w:lineRule="auto"/>
              <w:jc w:val="both"/>
              <w:rPr>
                <w:rFonts w:hint="eastAsia" w:eastAsia="宋体"/>
                <w:sz w:val="20"/>
                <w:szCs w:val="20"/>
                <w:lang w:eastAsia="zh-CN"/>
              </w:rPr>
            </w:pPr>
            <w:r>
              <w:rPr>
                <w:sz w:val="20"/>
                <w:szCs w:val="20"/>
              </w:rPr>
              <w:t>无泄漏、破裂、起火或爆炸现象。试验后的绝缘电阻应符合原文4.2节要求</w:t>
            </w:r>
            <w:r>
              <w:rPr>
                <w:rFonts w:hint="eastAsia"/>
                <w:sz w:val="20"/>
                <w:szCs w:val="20"/>
                <w:lang w:eastAsia="zh-CN"/>
              </w:rPr>
              <w:t>。</w:t>
            </w:r>
          </w:p>
        </w:tc>
        <w:tc>
          <w:tcPr>
            <w:tcW w:w="2554" w:type="dxa"/>
            <w:gridSpan w:val="2"/>
            <w:shd w:val="clear" w:color="auto" w:fill="auto"/>
            <w:vAlign w:val="center"/>
          </w:tcPr>
          <w:p>
            <w:pPr>
              <w:widowControl w:val="0"/>
              <w:spacing w:line="276" w:lineRule="auto"/>
              <w:jc w:val="both"/>
              <w:rPr>
                <w:rFonts w:hint="eastAsia" w:eastAsia="宋体"/>
                <w:sz w:val="20"/>
                <w:szCs w:val="20"/>
                <w:lang w:eastAsia="zh-CN"/>
              </w:rPr>
            </w:pPr>
            <w:r>
              <w:rPr>
                <w:sz w:val="20"/>
                <w:szCs w:val="20"/>
              </w:rPr>
              <w:t>无电解液泄漏、破裂、排气（开式电池除外）、起火或爆炸</w:t>
            </w:r>
            <w:r>
              <w:rPr>
                <w:rFonts w:hint="eastAsia"/>
                <w:sz w:val="20"/>
                <w:szCs w:val="20"/>
              </w:rPr>
              <w:t>，绝缘阻抗</w:t>
            </w:r>
            <w:r>
              <w:rPr>
                <w:sz w:val="20"/>
                <w:szCs w:val="20"/>
              </w:rPr>
              <w:t>≥100 Ω/V</w:t>
            </w:r>
            <w:r>
              <w:rPr>
                <w:rFonts w:hint="eastAsia"/>
                <w:sz w:val="20"/>
                <w:szCs w:val="20"/>
                <w:lang w:eastAsia="zh-CN"/>
              </w:rPr>
              <w:t>。</w:t>
            </w:r>
          </w:p>
        </w:tc>
      </w:tr>
    </w:tbl>
    <w:p>
      <w:pPr>
        <w:spacing w:line="360" w:lineRule="auto"/>
        <w:ind w:firstLine="420"/>
        <w:jc w:val="both"/>
        <w:rPr>
          <w:rFonts w:ascii="宋体" w:hAnsi="宋体"/>
          <w:szCs w:val="21"/>
        </w:rPr>
      </w:pPr>
      <w:r>
        <w:rPr>
          <w:rFonts w:ascii="宋体" w:hAnsi="宋体"/>
          <w:szCs w:val="21"/>
        </w:rPr>
        <w:t>分析</w:t>
      </w:r>
      <w:r>
        <w:rPr>
          <w:rFonts w:hint="eastAsia" w:ascii="宋体" w:hAnsi="宋体"/>
          <w:szCs w:val="21"/>
        </w:rPr>
        <w:t>：</w:t>
      </w:r>
      <w:r>
        <w:rPr>
          <w:szCs w:val="21"/>
        </w:rPr>
        <w:t>a</w:t>
      </w:r>
      <w:r>
        <w:rPr>
          <w:rFonts w:hint="eastAsia"/>
          <w:szCs w:val="21"/>
        </w:rPr>
        <w:t>）</w:t>
      </w:r>
      <w:r>
        <w:rPr>
          <w:szCs w:val="21"/>
        </w:rPr>
        <w:t>ISO 6469-1</w:t>
      </w:r>
      <w:r>
        <w:rPr>
          <w:rFonts w:hint="eastAsia"/>
          <w:szCs w:val="21"/>
        </w:rPr>
        <w:t>、</w:t>
      </w:r>
      <w:r>
        <w:rPr>
          <w:szCs w:val="21"/>
        </w:rPr>
        <w:t>EVS-GTR</w:t>
      </w:r>
      <w:r>
        <w:rPr>
          <w:rFonts w:hint="eastAsia" w:ascii="宋体" w:hAnsi="宋体"/>
          <w:szCs w:val="21"/>
        </w:rPr>
        <w:t>和</w:t>
      </w:r>
      <w:r>
        <w:rPr>
          <w:szCs w:val="21"/>
        </w:rPr>
        <w:t>UN R100</w:t>
      </w:r>
      <w:r>
        <w:rPr>
          <w:rFonts w:hint="eastAsia" w:ascii="宋体" w:hAnsi="宋体"/>
          <w:szCs w:val="21"/>
        </w:rPr>
        <w:t>中，发出终止或限制充放电信号不作为试验终止条件，而国家标准</w:t>
      </w:r>
      <w:r>
        <w:rPr>
          <w:szCs w:val="21"/>
        </w:rPr>
        <w:t>GB 38031</w:t>
      </w:r>
      <w:r>
        <w:rPr>
          <w:rFonts w:hint="eastAsia" w:ascii="宋体" w:hAnsi="宋体"/>
          <w:szCs w:val="21"/>
        </w:rPr>
        <w:t>将这一条件作为试验终止条件。外部短路保护、过充电保护、过放电保护中同理，后不赘述。</w:t>
      </w:r>
      <w:r>
        <w:rPr>
          <w:szCs w:val="21"/>
        </w:rPr>
        <w:t>ISO 6469-1</w:t>
      </w:r>
      <w:r>
        <w:rPr>
          <w:rFonts w:hint="eastAsia" w:ascii="宋体" w:hAnsi="宋体"/>
          <w:szCs w:val="21"/>
        </w:rPr>
        <w:t>中测试截止条件：</w:t>
      </w:r>
      <w:r>
        <w:rPr>
          <w:szCs w:val="21"/>
        </w:rPr>
        <w:t>DUT</w:t>
      </w:r>
      <w:r>
        <w:rPr>
          <w:rFonts w:hint="eastAsia" w:ascii="宋体" w:hAnsi="宋体"/>
          <w:szCs w:val="21"/>
        </w:rPr>
        <w:t>的最高温度超过了供应商和客户指定的上限（判定为不合格），过温保护为验证动力电池内部过热的场景下，电池包保护功能是否起作用。由</w:t>
      </w:r>
      <w:r>
        <w:rPr>
          <w:rFonts w:ascii="宋体" w:hAnsi="宋体"/>
          <w:szCs w:val="21"/>
        </w:rPr>
        <w:t>于单包模式与整车下电模式存在差异，</w:t>
      </w:r>
      <w:r>
        <w:rPr>
          <w:rFonts w:hint="eastAsia" w:ascii="宋体" w:hAnsi="宋体"/>
          <w:szCs w:val="21"/>
        </w:rPr>
        <w:t>难以</w:t>
      </w:r>
      <w:r>
        <w:rPr>
          <w:rFonts w:ascii="宋体" w:hAnsi="宋体"/>
          <w:szCs w:val="21"/>
        </w:rPr>
        <w:t>直接对应。</w:t>
      </w:r>
      <w:r>
        <w:rPr>
          <w:rFonts w:hint="eastAsia" w:ascii="宋体" w:hAnsi="宋体"/>
          <w:szCs w:val="21"/>
        </w:rPr>
        <w:t>维持标准原文不变。</w:t>
      </w:r>
    </w:p>
    <w:p>
      <w:pPr>
        <w:spacing w:line="360" w:lineRule="auto"/>
        <w:ind w:firstLine="420"/>
        <w:jc w:val="both"/>
        <w:rPr>
          <w:rFonts w:ascii="宋体" w:hAnsi="宋体"/>
          <w:szCs w:val="21"/>
        </w:rPr>
      </w:pPr>
      <w:r>
        <w:rPr>
          <w:szCs w:val="21"/>
        </w:rPr>
        <w:t>b）EVS-GTR</w:t>
      </w:r>
      <w:r>
        <w:rPr>
          <w:rFonts w:ascii="宋体" w:hAnsi="宋体"/>
          <w:szCs w:val="21"/>
        </w:rPr>
        <w:t>和</w:t>
      </w:r>
      <w:r>
        <w:rPr>
          <w:szCs w:val="21"/>
        </w:rPr>
        <w:t>UN R100</w:t>
      </w:r>
      <w:r>
        <w:rPr>
          <w:rFonts w:ascii="宋体" w:hAnsi="宋体"/>
          <w:szCs w:val="21"/>
        </w:rPr>
        <w:t>中，电池系统是否排气（指以防止破裂或爆炸</w:t>
      </w:r>
      <w:r>
        <w:rPr>
          <w:rFonts w:hint="eastAsia" w:ascii="宋体" w:hAnsi="宋体"/>
          <w:szCs w:val="21"/>
        </w:rPr>
        <w:t>的设计方式从电池或</w:t>
      </w:r>
      <w:r>
        <w:rPr>
          <w:szCs w:val="21"/>
        </w:rPr>
        <w:t>REESS</w:t>
      </w:r>
      <w:r>
        <w:rPr>
          <w:rFonts w:ascii="宋体" w:hAnsi="宋体"/>
          <w:szCs w:val="21"/>
        </w:rPr>
        <w:t>子系统或</w:t>
      </w:r>
      <w:r>
        <w:rPr>
          <w:szCs w:val="21"/>
        </w:rPr>
        <w:t>REESS</w:t>
      </w:r>
      <w:r>
        <w:rPr>
          <w:rFonts w:ascii="宋体" w:hAnsi="宋体"/>
          <w:szCs w:val="21"/>
        </w:rPr>
        <w:t>中释放过多的内部压力，除开式牵</w:t>
      </w:r>
      <w:r>
        <w:rPr>
          <w:rFonts w:hint="eastAsia" w:ascii="宋体" w:hAnsi="宋体"/>
          <w:szCs w:val="21"/>
        </w:rPr>
        <w:t>引电池以外）作为判定条件，而国家标准</w:t>
      </w:r>
      <w:r>
        <w:rPr>
          <w:szCs w:val="21"/>
        </w:rPr>
        <w:t>GB 38031</w:t>
      </w:r>
      <w:r>
        <w:rPr>
          <w:rFonts w:ascii="宋体" w:hAnsi="宋体"/>
          <w:szCs w:val="21"/>
        </w:rPr>
        <w:t>中“泄漏”（有可见物质从</w:t>
      </w:r>
      <w:r>
        <w:rPr>
          <w:rFonts w:hint="eastAsia" w:ascii="宋体" w:hAnsi="宋体"/>
          <w:szCs w:val="21"/>
        </w:rPr>
        <w:t>电池单体、模块、电池包或系统中漏出至试验对象外部的现象）可覆盖“排气”</w:t>
      </w:r>
      <w:r>
        <w:rPr>
          <w:rFonts w:ascii="宋体" w:hAnsi="宋体"/>
          <w:szCs w:val="21"/>
        </w:rPr>
        <w:t>，</w:t>
      </w:r>
      <w:r>
        <w:rPr>
          <w:rFonts w:hint="eastAsia" w:ascii="宋体" w:hAnsi="宋体"/>
          <w:szCs w:val="21"/>
        </w:rPr>
        <w:t>对于“开式电池“，</w:t>
      </w:r>
      <w:r>
        <w:rPr>
          <w:szCs w:val="21"/>
        </w:rPr>
        <w:t>GB 38031</w:t>
      </w:r>
      <w:r>
        <w:rPr>
          <w:rFonts w:ascii="宋体" w:hAnsi="宋体"/>
          <w:szCs w:val="21"/>
        </w:rPr>
        <w:t>不适用，不需考虑。</w:t>
      </w:r>
      <w:r>
        <w:rPr>
          <w:rFonts w:hint="eastAsia" w:ascii="宋体" w:hAnsi="宋体"/>
          <w:szCs w:val="21"/>
        </w:rPr>
        <w:t>外部短路保护、过充电保护、过放电保护中同理，后不赘述。</w:t>
      </w:r>
    </w:p>
    <w:p>
      <w:pPr>
        <w:spacing w:line="360" w:lineRule="auto"/>
        <w:ind w:firstLine="420"/>
        <w:jc w:val="both"/>
        <w:rPr>
          <w:rFonts w:ascii="宋体" w:hAnsi="宋体"/>
          <w:szCs w:val="21"/>
        </w:rPr>
      </w:pPr>
      <w:r>
        <w:rPr>
          <w:szCs w:val="21"/>
        </w:rPr>
        <w:t>c）ISO 6469-1</w:t>
      </w:r>
      <w:r>
        <w:rPr>
          <w:rFonts w:ascii="宋体" w:hAnsi="宋体"/>
          <w:szCs w:val="21"/>
        </w:rPr>
        <w:t>中，电池系统包含交流电路，且没有符合</w:t>
      </w:r>
      <w:r>
        <w:rPr>
          <w:szCs w:val="21"/>
        </w:rPr>
        <w:t>ISO 6469-3</w:t>
      </w:r>
      <w:r>
        <w:rPr>
          <w:rFonts w:ascii="宋体" w:hAnsi="宋体"/>
          <w:szCs w:val="21"/>
        </w:rPr>
        <w:t>的额外</w:t>
      </w:r>
      <w:r>
        <w:rPr>
          <w:rFonts w:hint="eastAsia" w:ascii="宋体" w:hAnsi="宋体"/>
          <w:szCs w:val="21"/>
        </w:rPr>
        <w:t>交流保护（</w:t>
      </w:r>
      <w:r>
        <w:rPr>
          <w:szCs w:val="21"/>
        </w:rPr>
        <w:t>a.</w:t>
      </w:r>
      <w:r>
        <w:rPr>
          <w:rFonts w:ascii="宋体" w:hAnsi="宋体"/>
          <w:szCs w:val="21"/>
        </w:rPr>
        <w:t>双重绝缘；</w:t>
      </w:r>
      <w:r>
        <w:rPr>
          <w:szCs w:val="21"/>
        </w:rPr>
        <w:t>b.</w:t>
      </w:r>
      <w:r>
        <w:rPr>
          <w:rFonts w:ascii="宋体" w:hAnsi="宋体"/>
          <w:szCs w:val="21"/>
        </w:rPr>
        <w:t>强化绝缘；</w:t>
      </w:r>
      <w:r>
        <w:rPr>
          <w:szCs w:val="21"/>
        </w:rPr>
        <w:t>c.</w:t>
      </w:r>
      <w:r>
        <w:rPr>
          <w:rFonts w:ascii="宋体" w:hAnsi="宋体"/>
          <w:szCs w:val="21"/>
        </w:rPr>
        <w:t>基本保护之外的保护屏障；</w:t>
      </w:r>
      <w:r>
        <w:rPr>
          <w:szCs w:val="21"/>
        </w:rPr>
        <w:t>d.</w:t>
      </w:r>
      <w:r>
        <w:rPr>
          <w:rFonts w:ascii="宋体" w:hAnsi="宋体"/>
          <w:szCs w:val="21"/>
        </w:rPr>
        <w:t>除基本保护</w:t>
      </w:r>
      <w:r>
        <w:rPr>
          <w:rFonts w:hint="eastAsia" w:ascii="宋体" w:hAnsi="宋体"/>
          <w:szCs w:val="21"/>
        </w:rPr>
        <w:t>外的保护外壳；</w:t>
      </w:r>
      <w:r>
        <w:rPr>
          <w:szCs w:val="21"/>
        </w:rPr>
        <w:t>e.</w:t>
      </w:r>
      <w:r>
        <w:rPr>
          <w:rFonts w:ascii="宋体" w:hAnsi="宋体"/>
          <w:szCs w:val="21"/>
        </w:rPr>
        <w:t>除基本绝缘外，导电保护屏障具有等电位连接；</w:t>
      </w:r>
      <w:r>
        <w:rPr>
          <w:szCs w:val="21"/>
        </w:rPr>
        <w:t>f.</w:t>
      </w:r>
      <w:r>
        <w:rPr>
          <w:rFonts w:ascii="宋体" w:hAnsi="宋体"/>
          <w:szCs w:val="21"/>
        </w:rPr>
        <w:t>除基本绝缘</w:t>
      </w:r>
      <w:r>
        <w:rPr>
          <w:rFonts w:hint="eastAsia" w:ascii="宋体" w:hAnsi="宋体"/>
          <w:szCs w:val="21"/>
        </w:rPr>
        <w:t>外，导电保护外壳具有等电位连接；</w:t>
      </w:r>
      <w:r>
        <w:rPr>
          <w:szCs w:val="21"/>
        </w:rPr>
        <w:t>g.</w:t>
      </w:r>
      <w:r>
        <w:rPr>
          <w:rFonts w:ascii="宋体" w:hAnsi="宋体"/>
          <w:szCs w:val="21"/>
        </w:rPr>
        <w:t>在车辆使用寿命期间，具有足够的机械强</w:t>
      </w:r>
      <w:r>
        <w:rPr>
          <w:rFonts w:hint="eastAsia" w:ascii="宋体" w:hAnsi="宋体"/>
          <w:szCs w:val="21"/>
        </w:rPr>
        <w:t>度和耐用性的刚性保护屏障；</w:t>
      </w:r>
      <w:r>
        <w:rPr>
          <w:szCs w:val="21"/>
        </w:rPr>
        <w:t>e.</w:t>
      </w:r>
      <w:r>
        <w:rPr>
          <w:rFonts w:ascii="宋体" w:hAnsi="宋体"/>
          <w:szCs w:val="21"/>
        </w:rPr>
        <w:t>在车辆使用寿命期间，具有足够机械强度和耐用</w:t>
      </w:r>
      <w:r>
        <w:rPr>
          <w:rFonts w:hint="eastAsia" w:ascii="宋体" w:hAnsi="宋体"/>
          <w:szCs w:val="21"/>
        </w:rPr>
        <w:t>性的刚性保护外壳），绝缘电阻则为</w:t>
      </w:r>
      <w:r>
        <w:rPr>
          <w:szCs w:val="21"/>
        </w:rPr>
        <w:t>500Ω/ V</w:t>
      </w:r>
      <w:r>
        <w:rPr>
          <w:rFonts w:ascii="宋体" w:hAnsi="宋体"/>
          <w:szCs w:val="21"/>
        </w:rPr>
        <w:t>。</w:t>
      </w:r>
      <w:r>
        <w:rPr>
          <w:szCs w:val="21"/>
        </w:rPr>
        <w:t>GB 38031</w:t>
      </w:r>
      <w:r>
        <w:rPr>
          <w:rFonts w:hint="eastAsia"/>
          <w:szCs w:val="21"/>
          <w:lang w:eastAsia="zh-CN"/>
        </w:rPr>
        <w:t>—</w:t>
      </w:r>
      <w:r>
        <w:rPr>
          <w:szCs w:val="21"/>
        </w:rPr>
        <w:t>202</w:t>
      </w:r>
      <w:r>
        <w:rPr>
          <w:rFonts w:hint="eastAsia"/>
          <w:szCs w:val="21"/>
          <w:lang w:val="en-US" w:eastAsia="zh-CN"/>
        </w:rPr>
        <w:t>0</w:t>
      </w:r>
      <w:r>
        <w:rPr>
          <w:szCs w:val="21"/>
        </w:rPr>
        <w:t>、</w:t>
      </w:r>
      <w:r>
        <w:rPr>
          <w:rFonts w:hint="eastAsia"/>
          <w:szCs w:val="21"/>
        </w:rPr>
        <w:t>EVS</w:t>
      </w:r>
      <w:r>
        <w:rPr>
          <w:szCs w:val="21"/>
        </w:rPr>
        <w:t>-</w:t>
      </w:r>
      <w:r>
        <w:rPr>
          <w:rFonts w:hint="eastAsia"/>
          <w:szCs w:val="21"/>
        </w:rPr>
        <w:t>GTR</w:t>
      </w:r>
      <w:r>
        <w:rPr>
          <w:rFonts w:ascii="宋体" w:hAnsi="宋体"/>
          <w:szCs w:val="21"/>
        </w:rPr>
        <w:t>和</w:t>
      </w:r>
      <w:r>
        <w:rPr>
          <w:szCs w:val="21"/>
        </w:rPr>
        <w:t>UN R100</w:t>
      </w:r>
      <w:r>
        <w:rPr>
          <w:rFonts w:ascii="宋体" w:hAnsi="宋体"/>
          <w:szCs w:val="21"/>
        </w:rPr>
        <w:t>中，绝缘电阻要求</w:t>
      </w:r>
      <w:r>
        <w:rPr>
          <w:szCs w:val="21"/>
        </w:rPr>
        <w:t>≥100 Ω/V</w:t>
      </w:r>
      <w:r>
        <w:rPr>
          <w:rFonts w:ascii="宋体" w:hAnsi="宋体"/>
          <w:szCs w:val="21"/>
        </w:rPr>
        <w:t>。针对部分</w:t>
      </w:r>
      <w:r>
        <w:rPr>
          <w:szCs w:val="21"/>
        </w:rPr>
        <w:t>OBC</w:t>
      </w:r>
      <w:r>
        <w:rPr>
          <w:rFonts w:ascii="宋体" w:hAnsi="宋体"/>
          <w:szCs w:val="21"/>
        </w:rPr>
        <w:t>和</w:t>
      </w:r>
      <w:r>
        <w:rPr>
          <w:szCs w:val="21"/>
        </w:rPr>
        <w:t>DCDC</w:t>
      </w:r>
      <w:r>
        <w:rPr>
          <w:rFonts w:ascii="宋体" w:hAnsi="宋体"/>
          <w:szCs w:val="21"/>
        </w:rPr>
        <w:t>集成在</w:t>
      </w:r>
      <w:r>
        <w:rPr>
          <w:rFonts w:hint="eastAsia" w:ascii="宋体" w:hAnsi="宋体"/>
          <w:szCs w:val="21"/>
        </w:rPr>
        <w:t>电池系统里的，存在充电交流回路，需考虑交流绝缘。在试验后绝缘阻抗要求中增加如果有交流电路，绝缘电阻需大于等于</w:t>
      </w:r>
      <w:r>
        <w:rPr>
          <w:szCs w:val="21"/>
        </w:rPr>
        <w:t>500Ω/ V</w:t>
      </w:r>
      <w:r>
        <w:rPr>
          <w:rFonts w:ascii="宋体" w:hAnsi="宋体"/>
          <w:szCs w:val="21"/>
        </w:rPr>
        <w:t>；</w:t>
      </w:r>
      <w:r>
        <w:rPr>
          <w:rFonts w:hint="eastAsia" w:ascii="宋体" w:hAnsi="宋体"/>
          <w:szCs w:val="21"/>
        </w:rPr>
        <w:t>与</w:t>
      </w:r>
      <w:r>
        <w:rPr>
          <w:szCs w:val="21"/>
        </w:rPr>
        <w:t>GB 18384</w:t>
      </w:r>
      <w:r>
        <w:rPr>
          <w:rFonts w:hint="eastAsia"/>
          <w:szCs w:val="21"/>
          <w:lang w:eastAsia="zh-CN"/>
        </w:rPr>
        <w:t>—</w:t>
      </w:r>
      <w:r>
        <w:rPr>
          <w:szCs w:val="21"/>
        </w:rPr>
        <w:t>2020</w:t>
      </w:r>
      <w:r>
        <w:rPr>
          <w:rFonts w:hint="eastAsia" w:ascii="宋体" w:hAnsi="宋体"/>
          <w:szCs w:val="21"/>
        </w:rPr>
        <w:t>相协调。外部短路保护、过充电保护、过放电保护中同理。</w:t>
      </w:r>
    </w:p>
    <w:p>
      <w:pPr>
        <w:pStyle w:val="19"/>
        <w:numPr>
          <w:ilvl w:val="0"/>
          <w:numId w:val="10"/>
        </w:numPr>
        <w:spacing w:line="400" w:lineRule="exact"/>
        <w:rPr>
          <w:rFonts w:ascii="宋体" w:hAnsi="宋体"/>
        </w:rPr>
      </w:pPr>
      <w:r>
        <w:rPr>
          <w:rFonts w:hint="eastAsia" w:ascii="宋体" w:hAnsi="宋体"/>
        </w:rPr>
        <w:t>外部短路保护</w:t>
      </w:r>
    </w:p>
    <w:p>
      <w:pPr>
        <w:spacing w:line="360" w:lineRule="auto"/>
        <w:ind w:firstLine="420"/>
        <w:jc w:val="both"/>
        <w:rPr>
          <w:rFonts w:ascii="宋体" w:hAnsi="宋体"/>
          <w:szCs w:val="21"/>
        </w:rPr>
      </w:pPr>
      <w:r>
        <w:rPr>
          <w:rFonts w:ascii="宋体" w:hAnsi="宋体"/>
          <w:szCs w:val="21"/>
        </w:rPr>
        <w:t>外部短路保护测试为验证动力电池外部短路场景下，电池包保护功能是否起作用。测试方法对比情况如表</w:t>
      </w:r>
      <w:r>
        <w:rPr>
          <w:szCs w:val="21"/>
        </w:rPr>
        <w:t>31</w:t>
      </w:r>
      <w:r>
        <w:rPr>
          <w:rFonts w:ascii="宋体" w:hAnsi="宋体"/>
          <w:szCs w:val="21"/>
        </w:rPr>
        <w:t>所示。</w:t>
      </w:r>
    </w:p>
    <w:p>
      <w:pPr>
        <w:spacing w:line="360" w:lineRule="auto"/>
        <w:ind w:firstLine="400"/>
        <w:jc w:val="center"/>
        <w:rPr>
          <w:sz w:val="20"/>
        </w:rPr>
      </w:pPr>
      <w:r>
        <w:rPr>
          <w:sz w:val="20"/>
        </w:rPr>
        <w:t>表31</w:t>
      </w:r>
      <w:r>
        <w:rPr>
          <w:rFonts w:hint="eastAsia"/>
          <w:sz w:val="20"/>
        </w:rPr>
        <w:t>：电池包或系统</w:t>
      </w:r>
      <w:r>
        <w:rPr>
          <w:sz w:val="20"/>
        </w:rPr>
        <w:t>外部短路保护测试对比</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2404"/>
        <w:gridCol w:w="2404"/>
        <w:gridCol w:w="1322"/>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645" w:type="pct"/>
            <w:shd w:val="clear" w:color="auto" w:fill="auto"/>
            <w:vAlign w:val="center"/>
          </w:tcPr>
          <w:p>
            <w:pPr>
              <w:spacing w:line="276" w:lineRule="auto"/>
              <w:jc w:val="center"/>
              <w:rPr>
                <w:sz w:val="20"/>
                <w:szCs w:val="20"/>
              </w:rPr>
            </w:pPr>
            <w:r>
              <w:rPr>
                <w:sz w:val="20"/>
                <w:szCs w:val="20"/>
              </w:rPr>
              <w:t>标准</w:t>
            </w:r>
          </w:p>
        </w:tc>
        <w:tc>
          <w:tcPr>
            <w:tcW w:w="1411" w:type="pct"/>
            <w:shd w:val="clear" w:color="auto" w:fill="auto"/>
            <w:vAlign w:val="center"/>
          </w:tcPr>
          <w:p>
            <w:pPr>
              <w:spacing w:line="276" w:lineRule="auto"/>
              <w:jc w:val="center"/>
              <w:rPr>
                <w:sz w:val="20"/>
                <w:szCs w:val="20"/>
              </w:rPr>
            </w:pPr>
            <w:r>
              <w:rPr>
                <w:szCs w:val="21"/>
              </w:rPr>
              <w:t>GB 38031</w:t>
            </w:r>
            <w:r>
              <w:rPr>
                <w:rFonts w:hint="eastAsia"/>
                <w:szCs w:val="21"/>
                <w:lang w:eastAsia="zh-CN"/>
              </w:rPr>
              <w:t>—</w:t>
            </w:r>
            <w:r>
              <w:rPr>
                <w:szCs w:val="21"/>
              </w:rPr>
              <w:t>202</w:t>
            </w:r>
            <w:r>
              <w:rPr>
                <w:rFonts w:hint="eastAsia"/>
                <w:szCs w:val="21"/>
                <w:lang w:val="en-US" w:eastAsia="zh-CN"/>
              </w:rPr>
              <w:t>0</w:t>
            </w:r>
          </w:p>
        </w:tc>
        <w:tc>
          <w:tcPr>
            <w:tcW w:w="1411" w:type="pct"/>
            <w:shd w:val="clear" w:color="auto" w:fill="auto"/>
            <w:vAlign w:val="center"/>
          </w:tcPr>
          <w:p>
            <w:pPr>
              <w:spacing w:line="276" w:lineRule="auto"/>
              <w:jc w:val="center"/>
              <w:rPr>
                <w:sz w:val="20"/>
                <w:szCs w:val="20"/>
              </w:rPr>
            </w:pPr>
            <w:r>
              <w:rPr>
                <w:sz w:val="20"/>
                <w:szCs w:val="20"/>
              </w:rPr>
              <w:t>ISO 6469-1:2019</w:t>
            </w:r>
          </w:p>
        </w:tc>
        <w:tc>
          <w:tcPr>
            <w:tcW w:w="776" w:type="pct"/>
            <w:shd w:val="clear" w:color="auto" w:fill="auto"/>
            <w:vAlign w:val="center"/>
          </w:tcPr>
          <w:p>
            <w:pPr>
              <w:spacing w:line="276" w:lineRule="auto"/>
              <w:jc w:val="center"/>
              <w:rPr>
                <w:sz w:val="20"/>
                <w:szCs w:val="20"/>
              </w:rPr>
            </w:pPr>
            <w:r>
              <w:rPr>
                <w:sz w:val="20"/>
                <w:szCs w:val="20"/>
              </w:rPr>
              <w:t>EVS-GTR</w:t>
            </w:r>
          </w:p>
        </w:tc>
        <w:tc>
          <w:tcPr>
            <w:tcW w:w="756" w:type="pct"/>
            <w:shd w:val="clear" w:color="auto" w:fill="auto"/>
            <w:vAlign w:val="center"/>
          </w:tcPr>
          <w:p>
            <w:pPr>
              <w:spacing w:line="276" w:lineRule="auto"/>
              <w:jc w:val="center"/>
              <w:rPr>
                <w:sz w:val="20"/>
                <w:szCs w:val="20"/>
              </w:rPr>
            </w:pPr>
            <w:r>
              <w:rPr>
                <w:sz w:val="20"/>
                <w:szCs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645" w:type="pct"/>
            <w:shd w:val="clear" w:color="auto" w:fill="auto"/>
            <w:vAlign w:val="center"/>
          </w:tcPr>
          <w:p>
            <w:pPr>
              <w:widowControl w:val="0"/>
              <w:spacing w:line="276" w:lineRule="auto"/>
              <w:jc w:val="center"/>
              <w:rPr>
                <w:sz w:val="20"/>
                <w:szCs w:val="20"/>
              </w:rPr>
            </w:pPr>
            <w:r>
              <w:rPr>
                <w:sz w:val="20"/>
                <w:szCs w:val="20"/>
              </w:rPr>
              <w:t>试验对象</w:t>
            </w:r>
          </w:p>
        </w:tc>
        <w:tc>
          <w:tcPr>
            <w:tcW w:w="1411" w:type="pct"/>
            <w:shd w:val="clear" w:color="auto" w:fill="auto"/>
            <w:vAlign w:val="center"/>
          </w:tcPr>
          <w:p>
            <w:pPr>
              <w:widowControl w:val="0"/>
              <w:spacing w:line="276" w:lineRule="auto"/>
              <w:jc w:val="both"/>
              <w:rPr>
                <w:sz w:val="20"/>
                <w:szCs w:val="20"/>
              </w:rPr>
            </w:pPr>
            <w:r>
              <w:rPr>
                <w:sz w:val="20"/>
                <w:szCs w:val="20"/>
              </w:rPr>
              <w:t>电池系统</w:t>
            </w:r>
          </w:p>
        </w:tc>
        <w:tc>
          <w:tcPr>
            <w:tcW w:w="1411" w:type="pct"/>
            <w:shd w:val="clear" w:color="auto" w:fill="auto"/>
            <w:vAlign w:val="center"/>
          </w:tcPr>
          <w:p>
            <w:pPr>
              <w:widowControl w:val="0"/>
              <w:spacing w:line="276" w:lineRule="auto"/>
              <w:ind w:right="-105" w:rightChars="-50"/>
              <w:jc w:val="both"/>
              <w:rPr>
                <w:sz w:val="20"/>
                <w:szCs w:val="20"/>
              </w:rPr>
            </w:pPr>
            <w:r>
              <w:rPr>
                <w:sz w:val="20"/>
                <w:szCs w:val="20"/>
              </w:rPr>
              <w:t>电池系统</w:t>
            </w:r>
          </w:p>
        </w:tc>
        <w:tc>
          <w:tcPr>
            <w:tcW w:w="1532" w:type="pct"/>
            <w:gridSpan w:val="2"/>
            <w:shd w:val="clear" w:color="auto" w:fill="auto"/>
            <w:vAlign w:val="center"/>
          </w:tcPr>
          <w:p>
            <w:pPr>
              <w:widowControl w:val="0"/>
              <w:spacing w:line="276" w:lineRule="auto"/>
              <w:jc w:val="both"/>
              <w:rPr>
                <w:sz w:val="20"/>
                <w:szCs w:val="20"/>
              </w:rPr>
            </w:pPr>
            <w:r>
              <w:rPr>
                <w:sz w:val="20"/>
                <w:szCs w:val="20"/>
              </w:rPr>
              <w:t>电池系统、整车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45" w:type="pct"/>
            <w:shd w:val="clear" w:color="auto" w:fill="auto"/>
            <w:vAlign w:val="center"/>
          </w:tcPr>
          <w:p>
            <w:pPr>
              <w:widowControl w:val="0"/>
              <w:spacing w:line="276" w:lineRule="auto"/>
              <w:jc w:val="center"/>
              <w:rPr>
                <w:sz w:val="20"/>
                <w:szCs w:val="20"/>
              </w:rPr>
            </w:pPr>
            <w:r>
              <w:rPr>
                <w:sz w:val="20"/>
                <w:szCs w:val="20"/>
              </w:rPr>
              <w:t>SOC状态要求</w:t>
            </w:r>
          </w:p>
        </w:tc>
        <w:tc>
          <w:tcPr>
            <w:tcW w:w="1411" w:type="pct"/>
            <w:shd w:val="clear" w:color="auto" w:fill="auto"/>
            <w:vAlign w:val="center"/>
          </w:tcPr>
          <w:p>
            <w:pPr>
              <w:widowControl w:val="0"/>
              <w:spacing w:line="276" w:lineRule="auto"/>
              <w:jc w:val="both"/>
              <w:rPr>
                <w:sz w:val="20"/>
                <w:szCs w:val="20"/>
              </w:rPr>
            </w:pPr>
            <w:r>
              <w:rPr>
                <w:rFonts w:hint="eastAsia"/>
                <w:sz w:val="20"/>
                <w:szCs w:val="20"/>
              </w:rPr>
              <w:t>完全充电状态</w:t>
            </w:r>
          </w:p>
        </w:tc>
        <w:tc>
          <w:tcPr>
            <w:tcW w:w="1411" w:type="pct"/>
            <w:shd w:val="clear" w:color="auto" w:fill="auto"/>
            <w:vAlign w:val="center"/>
          </w:tcPr>
          <w:p>
            <w:pPr>
              <w:widowControl w:val="0"/>
              <w:spacing w:line="276" w:lineRule="auto"/>
              <w:jc w:val="both"/>
              <w:rPr>
                <w:sz w:val="20"/>
                <w:szCs w:val="20"/>
              </w:rPr>
            </w:pPr>
            <w:r>
              <w:rPr>
                <w:sz w:val="20"/>
                <w:szCs w:val="20"/>
              </w:rPr>
              <w:t>无特殊要求（默认</w:t>
            </w:r>
            <w:r>
              <w:rPr>
                <w:rFonts w:hint="eastAsia"/>
                <w:sz w:val="20"/>
                <w:szCs w:val="20"/>
              </w:rPr>
              <w:t>最高使用SOC</w:t>
            </w:r>
            <w:r>
              <w:rPr>
                <w:sz w:val="20"/>
                <w:szCs w:val="20"/>
              </w:rPr>
              <w:t>）</w:t>
            </w:r>
          </w:p>
        </w:tc>
        <w:tc>
          <w:tcPr>
            <w:tcW w:w="1532" w:type="pct"/>
            <w:gridSpan w:val="2"/>
            <w:shd w:val="clear" w:color="auto" w:fill="auto"/>
            <w:vAlign w:val="center"/>
          </w:tcPr>
          <w:p>
            <w:pPr>
              <w:widowControl w:val="0"/>
              <w:spacing w:line="276" w:lineRule="auto"/>
              <w:jc w:val="both"/>
              <w:rPr>
                <w:sz w:val="20"/>
                <w:szCs w:val="20"/>
              </w:rPr>
            </w:pPr>
            <w:r>
              <w:rPr>
                <w:rFonts w:hint="eastAsia"/>
                <w:sz w:val="20"/>
                <w:szCs w:val="20"/>
              </w:rPr>
              <w:t>最高使用SOC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45" w:type="pct"/>
            <w:shd w:val="clear" w:color="auto" w:fill="auto"/>
            <w:vAlign w:val="center"/>
          </w:tcPr>
          <w:p>
            <w:pPr>
              <w:widowControl w:val="0"/>
              <w:spacing w:line="276" w:lineRule="auto"/>
              <w:jc w:val="center"/>
              <w:rPr>
                <w:sz w:val="20"/>
                <w:szCs w:val="20"/>
              </w:rPr>
            </w:pPr>
            <w:r>
              <w:rPr>
                <w:sz w:val="20"/>
                <w:szCs w:val="20"/>
              </w:rPr>
              <w:t>试验温度</w:t>
            </w:r>
          </w:p>
        </w:tc>
        <w:tc>
          <w:tcPr>
            <w:tcW w:w="1411" w:type="pct"/>
            <w:shd w:val="clear" w:color="auto" w:fill="auto"/>
            <w:vAlign w:val="center"/>
          </w:tcPr>
          <w:p>
            <w:pPr>
              <w:widowControl w:val="0"/>
              <w:spacing w:line="276" w:lineRule="auto"/>
              <w:jc w:val="both"/>
              <w:rPr>
                <w:sz w:val="20"/>
                <w:szCs w:val="20"/>
              </w:rPr>
            </w:pPr>
            <w:r>
              <w:rPr>
                <w:sz w:val="20"/>
                <w:szCs w:val="20"/>
              </w:rPr>
              <w:t>20 ℃±10 ℃或更高温度</w:t>
            </w:r>
          </w:p>
        </w:tc>
        <w:tc>
          <w:tcPr>
            <w:tcW w:w="1411" w:type="pct"/>
            <w:shd w:val="clear" w:color="auto" w:fill="auto"/>
            <w:vAlign w:val="center"/>
          </w:tcPr>
          <w:p>
            <w:pPr>
              <w:widowControl w:val="0"/>
              <w:spacing w:line="276" w:lineRule="auto"/>
              <w:jc w:val="both"/>
              <w:rPr>
                <w:sz w:val="20"/>
                <w:szCs w:val="20"/>
              </w:rPr>
            </w:pPr>
            <w:r>
              <w:rPr>
                <w:sz w:val="20"/>
                <w:szCs w:val="20"/>
              </w:rPr>
              <w:t>可以高于室温 (25 ± 2) °C</w:t>
            </w:r>
          </w:p>
        </w:tc>
        <w:tc>
          <w:tcPr>
            <w:tcW w:w="1532" w:type="pct"/>
            <w:gridSpan w:val="2"/>
            <w:shd w:val="clear" w:color="auto" w:fill="auto"/>
            <w:vAlign w:val="center"/>
          </w:tcPr>
          <w:p>
            <w:pPr>
              <w:widowControl w:val="0"/>
              <w:spacing w:line="276" w:lineRule="auto"/>
              <w:jc w:val="both"/>
              <w:rPr>
                <w:sz w:val="20"/>
                <w:szCs w:val="20"/>
              </w:rPr>
            </w:pPr>
            <w:r>
              <w:rPr>
                <w:sz w:val="20"/>
                <w:szCs w:val="20"/>
              </w:rPr>
              <w:t>20±10℃或更高温度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45" w:type="pct"/>
            <w:shd w:val="clear" w:color="auto" w:fill="auto"/>
            <w:vAlign w:val="center"/>
          </w:tcPr>
          <w:p>
            <w:pPr>
              <w:widowControl w:val="0"/>
              <w:spacing w:line="276" w:lineRule="auto"/>
              <w:jc w:val="center"/>
              <w:rPr>
                <w:sz w:val="20"/>
                <w:szCs w:val="20"/>
              </w:rPr>
            </w:pPr>
            <w:r>
              <w:rPr>
                <w:sz w:val="20"/>
                <w:szCs w:val="20"/>
              </w:rPr>
              <w:t>试验中</w:t>
            </w:r>
          </w:p>
        </w:tc>
        <w:tc>
          <w:tcPr>
            <w:tcW w:w="1411" w:type="pct"/>
            <w:shd w:val="clear" w:color="auto" w:fill="auto"/>
            <w:vAlign w:val="center"/>
          </w:tcPr>
          <w:p>
            <w:pPr>
              <w:widowControl w:val="0"/>
              <w:spacing w:line="276" w:lineRule="auto"/>
              <w:jc w:val="both"/>
              <w:rPr>
                <w:sz w:val="20"/>
                <w:szCs w:val="20"/>
              </w:rPr>
            </w:pPr>
            <w:r>
              <w:rPr>
                <w:sz w:val="20"/>
                <w:szCs w:val="20"/>
              </w:rPr>
              <w:t>1）短路电阻不超过5 mΩ。</w:t>
            </w:r>
          </w:p>
          <w:p>
            <w:pPr>
              <w:widowControl w:val="0"/>
              <w:spacing w:line="276" w:lineRule="auto"/>
              <w:jc w:val="both"/>
              <w:rPr>
                <w:sz w:val="20"/>
                <w:szCs w:val="20"/>
              </w:rPr>
            </w:pPr>
            <w:r>
              <w:rPr>
                <w:sz w:val="20"/>
                <w:szCs w:val="20"/>
              </w:rPr>
              <w:t>2）放电和充电回路的主要接触器均需闭合，如果不能在一次测试中完成，则应进行两次或两次以上的测试。</w:t>
            </w:r>
          </w:p>
        </w:tc>
        <w:tc>
          <w:tcPr>
            <w:tcW w:w="1411" w:type="pct"/>
            <w:shd w:val="clear" w:color="auto" w:fill="auto"/>
            <w:vAlign w:val="center"/>
          </w:tcPr>
          <w:p>
            <w:pPr>
              <w:widowControl w:val="0"/>
              <w:spacing w:line="276" w:lineRule="auto"/>
              <w:jc w:val="both"/>
              <w:rPr>
                <w:sz w:val="20"/>
                <w:szCs w:val="20"/>
              </w:rPr>
            </w:pPr>
            <w:r>
              <w:rPr>
                <w:sz w:val="20"/>
                <w:szCs w:val="20"/>
              </w:rPr>
              <w:t>使用电阻不超过5mΩ的外部短路连接进行试验。</w:t>
            </w:r>
          </w:p>
        </w:tc>
        <w:tc>
          <w:tcPr>
            <w:tcW w:w="1532" w:type="pct"/>
            <w:gridSpan w:val="2"/>
            <w:shd w:val="clear" w:color="auto" w:fill="auto"/>
            <w:vAlign w:val="center"/>
          </w:tcPr>
          <w:p>
            <w:pPr>
              <w:widowControl w:val="0"/>
              <w:spacing w:line="276" w:lineRule="auto"/>
              <w:jc w:val="both"/>
              <w:rPr>
                <w:sz w:val="20"/>
                <w:szCs w:val="20"/>
              </w:rPr>
            </w:pPr>
            <w:r>
              <w:rPr>
                <w:sz w:val="20"/>
                <w:szCs w:val="20"/>
              </w:rPr>
              <w:t>1）短路电阻不超过5 mΩ。</w:t>
            </w:r>
          </w:p>
          <w:p>
            <w:pPr>
              <w:widowControl w:val="0"/>
              <w:spacing w:line="276" w:lineRule="auto"/>
              <w:jc w:val="both"/>
              <w:rPr>
                <w:sz w:val="20"/>
                <w:szCs w:val="20"/>
              </w:rPr>
            </w:pPr>
            <w:r>
              <w:rPr>
                <w:sz w:val="20"/>
                <w:szCs w:val="20"/>
              </w:rPr>
              <w:t>2）放电和充电回路的主要接触器均需闭合，如果不能在一次测试中完成，则应进行两次或两次以上的测试。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645" w:type="pct"/>
            <w:shd w:val="clear" w:color="auto" w:fill="auto"/>
            <w:vAlign w:val="center"/>
          </w:tcPr>
          <w:p>
            <w:pPr>
              <w:widowControl w:val="0"/>
              <w:spacing w:line="276" w:lineRule="auto"/>
              <w:jc w:val="center"/>
              <w:rPr>
                <w:sz w:val="20"/>
                <w:szCs w:val="20"/>
              </w:rPr>
            </w:pPr>
            <w:r>
              <w:rPr>
                <w:sz w:val="20"/>
                <w:szCs w:val="20"/>
              </w:rPr>
              <w:t>截止条件</w:t>
            </w:r>
          </w:p>
        </w:tc>
        <w:tc>
          <w:tcPr>
            <w:tcW w:w="1411" w:type="pct"/>
            <w:shd w:val="clear" w:color="auto" w:fill="auto"/>
            <w:vAlign w:val="center"/>
          </w:tcPr>
          <w:p>
            <w:pPr>
              <w:widowControl w:val="0"/>
              <w:spacing w:line="276" w:lineRule="auto"/>
              <w:jc w:val="both"/>
              <w:rPr>
                <w:sz w:val="20"/>
                <w:szCs w:val="20"/>
              </w:rPr>
            </w:pPr>
            <w:r>
              <w:rPr>
                <w:rFonts w:hint="eastAsia"/>
                <w:sz w:val="20"/>
                <w:szCs w:val="20"/>
              </w:rPr>
              <w:t>1</w:t>
            </w:r>
            <w:r>
              <w:rPr>
                <w:sz w:val="20"/>
                <w:szCs w:val="20"/>
              </w:rPr>
              <w:t>) 终止短路电流</w:t>
            </w:r>
          </w:p>
          <w:p>
            <w:pPr>
              <w:widowControl w:val="0"/>
              <w:spacing w:line="276" w:lineRule="auto"/>
              <w:jc w:val="both"/>
              <w:rPr>
                <w:sz w:val="20"/>
                <w:szCs w:val="20"/>
              </w:rPr>
            </w:pPr>
            <w:r>
              <w:rPr>
                <w:rFonts w:hint="eastAsia"/>
                <w:sz w:val="20"/>
                <w:szCs w:val="20"/>
              </w:rPr>
              <w:t>2</w:t>
            </w:r>
            <w:r>
              <w:rPr>
                <w:sz w:val="20"/>
                <w:szCs w:val="20"/>
              </w:rPr>
              <w:t>) 温度变化2 h内小于4 ℃</w:t>
            </w:r>
          </w:p>
        </w:tc>
        <w:tc>
          <w:tcPr>
            <w:tcW w:w="1411" w:type="pct"/>
            <w:shd w:val="clear" w:color="auto" w:fill="auto"/>
            <w:vAlign w:val="center"/>
          </w:tcPr>
          <w:p>
            <w:pPr>
              <w:widowControl w:val="0"/>
              <w:spacing w:line="276" w:lineRule="auto"/>
              <w:jc w:val="both"/>
              <w:rPr>
                <w:sz w:val="20"/>
                <w:szCs w:val="20"/>
              </w:rPr>
            </w:pPr>
            <w:r>
              <w:rPr>
                <w:rFonts w:hint="eastAsia"/>
                <w:sz w:val="20"/>
                <w:szCs w:val="20"/>
              </w:rPr>
              <w:t>1</w:t>
            </w:r>
            <w:r>
              <w:rPr>
                <w:sz w:val="20"/>
                <w:szCs w:val="20"/>
              </w:rPr>
              <w:t>) 终止短路电流或将其降低到客户和供应商之间商定的非临界限值</w:t>
            </w:r>
          </w:p>
          <w:p>
            <w:pPr>
              <w:widowControl w:val="0"/>
              <w:spacing w:line="276" w:lineRule="auto"/>
              <w:jc w:val="both"/>
              <w:rPr>
                <w:sz w:val="20"/>
                <w:szCs w:val="20"/>
              </w:rPr>
            </w:pPr>
            <w:r>
              <w:rPr>
                <w:rFonts w:hint="eastAsia"/>
                <w:sz w:val="20"/>
                <w:szCs w:val="20"/>
              </w:rPr>
              <w:t>2</w:t>
            </w:r>
            <w:r>
              <w:rPr>
                <w:sz w:val="20"/>
                <w:szCs w:val="20"/>
              </w:rPr>
              <w:t>) 温度变化1 h内小于4 k</w:t>
            </w:r>
          </w:p>
        </w:tc>
        <w:tc>
          <w:tcPr>
            <w:tcW w:w="1532" w:type="pct"/>
            <w:gridSpan w:val="2"/>
            <w:shd w:val="clear" w:color="auto" w:fill="auto"/>
            <w:vAlign w:val="center"/>
          </w:tcPr>
          <w:p>
            <w:pPr>
              <w:widowControl w:val="0"/>
              <w:spacing w:line="276" w:lineRule="auto"/>
              <w:jc w:val="both"/>
              <w:rPr>
                <w:sz w:val="20"/>
                <w:szCs w:val="20"/>
              </w:rPr>
            </w:pPr>
            <w:r>
              <w:rPr>
                <w:rFonts w:hint="eastAsia"/>
                <w:sz w:val="20"/>
                <w:szCs w:val="20"/>
              </w:rPr>
              <w:t>1</w:t>
            </w:r>
            <w:r>
              <w:rPr>
                <w:sz w:val="20"/>
                <w:szCs w:val="20"/>
              </w:rPr>
              <w:t>) 终止短路电流</w:t>
            </w:r>
          </w:p>
          <w:p>
            <w:pPr>
              <w:widowControl w:val="0"/>
              <w:spacing w:line="276" w:lineRule="auto"/>
              <w:jc w:val="both"/>
              <w:rPr>
                <w:sz w:val="20"/>
                <w:szCs w:val="20"/>
              </w:rPr>
            </w:pPr>
            <w:r>
              <w:rPr>
                <w:rFonts w:hint="eastAsia"/>
                <w:sz w:val="20"/>
                <w:szCs w:val="20"/>
              </w:rPr>
              <w:t>2</w:t>
            </w:r>
            <w:r>
              <w:rPr>
                <w:sz w:val="20"/>
                <w:szCs w:val="20"/>
              </w:rPr>
              <w:t>) 温度变化2 h内小于4℃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45" w:type="pct"/>
            <w:shd w:val="clear" w:color="auto" w:fill="auto"/>
            <w:vAlign w:val="center"/>
          </w:tcPr>
          <w:p>
            <w:pPr>
              <w:widowControl w:val="0"/>
              <w:spacing w:line="276" w:lineRule="auto"/>
              <w:jc w:val="center"/>
              <w:rPr>
                <w:sz w:val="20"/>
                <w:szCs w:val="20"/>
              </w:rPr>
            </w:pPr>
            <w:r>
              <w:rPr>
                <w:sz w:val="20"/>
                <w:szCs w:val="20"/>
              </w:rPr>
              <w:t>试验后</w:t>
            </w:r>
          </w:p>
        </w:tc>
        <w:tc>
          <w:tcPr>
            <w:tcW w:w="1411" w:type="pct"/>
            <w:shd w:val="clear" w:color="auto" w:fill="auto"/>
            <w:vAlign w:val="center"/>
          </w:tcPr>
          <w:p>
            <w:pPr>
              <w:widowControl w:val="0"/>
              <w:spacing w:line="276" w:lineRule="auto"/>
              <w:jc w:val="both"/>
              <w:rPr>
                <w:sz w:val="20"/>
                <w:szCs w:val="20"/>
              </w:rPr>
            </w:pPr>
            <w:r>
              <w:rPr>
                <w:sz w:val="20"/>
                <w:szCs w:val="20"/>
              </w:rPr>
              <w:t>试验后观察1h。</w:t>
            </w:r>
          </w:p>
        </w:tc>
        <w:tc>
          <w:tcPr>
            <w:tcW w:w="1411" w:type="pct"/>
            <w:shd w:val="clear" w:color="auto" w:fill="auto"/>
            <w:vAlign w:val="center"/>
          </w:tcPr>
          <w:p>
            <w:pPr>
              <w:widowControl w:val="0"/>
              <w:spacing w:line="276" w:lineRule="auto"/>
              <w:jc w:val="both"/>
              <w:rPr>
                <w:sz w:val="20"/>
                <w:szCs w:val="20"/>
              </w:rPr>
            </w:pPr>
            <w:r>
              <w:rPr>
                <w:sz w:val="20"/>
                <w:szCs w:val="20"/>
              </w:rPr>
              <w:t>/</w:t>
            </w:r>
          </w:p>
        </w:tc>
        <w:tc>
          <w:tcPr>
            <w:tcW w:w="1532" w:type="pct"/>
            <w:gridSpan w:val="2"/>
            <w:shd w:val="clear" w:color="auto" w:fill="auto"/>
            <w:vAlign w:val="center"/>
          </w:tcPr>
          <w:p>
            <w:pPr>
              <w:widowControl w:val="0"/>
              <w:spacing w:line="276" w:lineRule="auto"/>
              <w:jc w:val="both"/>
              <w:rPr>
                <w:rFonts w:hint="eastAsia" w:eastAsia="宋体"/>
                <w:sz w:val="20"/>
                <w:szCs w:val="20"/>
                <w:lang w:eastAsia="zh-CN"/>
              </w:rPr>
            </w:pPr>
            <w:r>
              <w:rPr>
                <w:sz w:val="20"/>
                <w:szCs w:val="20"/>
              </w:rPr>
              <w:t>如果被测样品允许，应进行一圈标准循环。再观察1h</w:t>
            </w:r>
            <w:r>
              <w:rPr>
                <w:rFonts w:hint="eastAsia"/>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1" w:hRule="atLeast"/>
          <w:jc w:val="center"/>
        </w:trPr>
        <w:tc>
          <w:tcPr>
            <w:tcW w:w="645" w:type="pct"/>
            <w:shd w:val="clear" w:color="auto" w:fill="auto"/>
            <w:vAlign w:val="center"/>
          </w:tcPr>
          <w:p>
            <w:pPr>
              <w:widowControl w:val="0"/>
              <w:spacing w:line="276" w:lineRule="auto"/>
              <w:jc w:val="center"/>
              <w:rPr>
                <w:sz w:val="20"/>
                <w:szCs w:val="20"/>
              </w:rPr>
            </w:pPr>
            <w:r>
              <w:rPr>
                <w:rFonts w:hint="eastAsia"/>
                <w:sz w:val="20"/>
                <w:szCs w:val="20"/>
              </w:rPr>
              <w:t>判定条件</w:t>
            </w:r>
          </w:p>
        </w:tc>
        <w:tc>
          <w:tcPr>
            <w:tcW w:w="1411" w:type="pct"/>
            <w:shd w:val="clear" w:color="auto" w:fill="auto"/>
            <w:vAlign w:val="center"/>
          </w:tcPr>
          <w:p>
            <w:pPr>
              <w:widowControl w:val="0"/>
              <w:spacing w:line="276" w:lineRule="auto"/>
              <w:jc w:val="both"/>
              <w:rPr>
                <w:sz w:val="20"/>
                <w:szCs w:val="20"/>
              </w:rPr>
            </w:pPr>
            <w:r>
              <w:rPr>
                <w:sz w:val="20"/>
                <w:szCs w:val="20"/>
              </w:rPr>
              <w:t>无泄漏、破裂、起火或爆炸现象。试验后的</w:t>
            </w:r>
            <w:r>
              <w:rPr>
                <w:rFonts w:hint="eastAsia"/>
                <w:sz w:val="20"/>
                <w:szCs w:val="20"/>
              </w:rPr>
              <w:t>绝缘</w:t>
            </w:r>
            <w:r>
              <w:rPr>
                <w:sz w:val="20"/>
                <w:szCs w:val="20"/>
              </w:rPr>
              <w:t>电阻应≥100 Ω/V</w:t>
            </w:r>
          </w:p>
        </w:tc>
        <w:tc>
          <w:tcPr>
            <w:tcW w:w="1411" w:type="pct"/>
            <w:shd w:val="clear" w:color="auto" w:fill="auto"/>
            <w:vAlign w:val="center"/>
          </w:tcPr>
          <w:p>
            <w:pPr>
              <w:widowControl w:val="0"/>
              <w:spacing w:line="276" w:lineRule="auto"/>
              <w:jc w:val="both"/>
              <w:rPr>
                <w:sz w:val="20"/>
                <w:szCs w:val="20"/>
              </w:rPr>
            </w:pPr>
            <w:r>
              <w:rPr>
                <w:sz w:val="20"/>
                <w:szCs w:val="20"/>
              </w:rPr>
              <w:t>无泄漏、破裂、起火或爆炸现象。试验后的绝缘电阻应符合原文4.2节要求</w:t>
            </w:r>
          </w:p>
        </w:tc>
        <w:tc>
          <w:tcPr>
            <w:tcW w:w="1532" w:type="pct"/>
            <w:gridSpan w:val="2"/>
            <w:shd w:val="clear" w:color="auto" w:fill="auto"/>
            <w:vAlign w:val="center"/>
          </w:tcPr>
          <w:p>
            <w:pPr>
              <w:widowControl w:val="0"/>
              <w:spacing w:line="276" w:lineRule="auto"/>
              <w:jc w:val="both"/>
              <w:rPr>
                <w:sz w:val="20"/>
                <w:szCs w:val="20"/>
              </w:rPr>
            </w:pPr>
            <w:r>
              <w:rPr>
                <w:sz w:val="20"/>
                <w:szCs w:val="20"/>
              </w:rPr>
              <w:t>无电解液泄漏、破裂、排气（开式电池除外）、起火或爆炸</w:t>
            </w:r>
            <w:r>
              <w:rPr>
                <w:rFonts w:hint="eastAsia"/>
                <w:sz w:val="20"/>
                <w:szCs w:val="20"/>
              </w:rPr>
              <w:t>；绝缘阻抗</w:t>
            </w:r>
            <w:r>
              <w:rPr>
                <w:sz w:val="20"/>
                <w:szCs w:val="20"/>
              </w:rPr>
              <w:t>≥100 Ω/V</w:t>
            </w:r>
          </w:p>
        </w:tc>
      </w:tr>
    </w:tbl>
    <w:p>
      <w:pPr>
        <w:spacing w:line="360" w:lineRule="auto"/>
        <w:ind w:firstLine="420"/>
        <w:jc w:val="both"/>
        <w:rPr>
          <w:rFonts w:ascii="宋体" w:hAnsi="宋体"/>
          <w:szCs w:val="21"/>
        </w:rPr>
      </w:pPr>
      <w:r>
        <w:rPr>
          <w:szCs w:val="21"/>
        </w:rPr>
        <w:t>EVS-GTR、UN R100</w:t>
      </w:r>
      <w:r>
        <w:rPr>
          <w:rFonts w:ascii="宋体" w:hAnsi="宋体"/>
          <w:szCs w:val="21"/>
        </w:rPr>
        <w:t>中，</w:t>
      </w:r>
      <w:r>
        <w:rPr>
          <w:rFonts w:hint="eastAsia" w:ascii="宋体" w:hAnsi="宋体"/>
          <w:szCs w:val="21"/>
        </w:rPr>
        <w:t>试验后</w:t>
      </w:r>
      <w:r>
        <w:rPr>
          <w:rFonts w:ascii="宋体" w:hAnsi="宋体"/>
          <w:szCs w:val="21"/>
        </w:rPr>
        <w:t xml:space="preserve">如果允许/更换 </w:t>
      </w:r>
      <w:r>
        <w:rPr>
          <w:szCs w:val="21"/>
        </w:rPr>
        <w:t>fuse</w:t>
      </w:r>
      <w:r>
        <w:rPr>
          <w:rFonts w:ascii="宋体" w:hAnsi="宋体"/>
          <w:szCs w:val="21"/>
        </w:rPr>
        <w:t>，应</w:t>
      </w:r>
      <w:r>
        <w:rPr>
          <w:rFonts w:hint="eastAsia" w:ascii="宋体" w:hAnsi="宋体"/>
          <w:szCs w:val="21"/>
        </w:rPr>
        <w:t>进行一圈标准循环</w:t>
      </w:r>
      <w:r>
        <w:rPr>
          <w:rFonts w:ascii="宋体" w:hAnsi="宋体"/>
          <w:szCs w:val="21"/>
        </w:rPr>
        <w:t>。</w:t>
      </w:r>
      <w:r>
        <w:rPr>
          <w:szCs w:val="21"/>
        </w:rPr>
        <w:t>GB 38031</w:t>
      </w:r>
      <w:r>
        <w:rPr>
          <w:rFonts w:hint="eastAsia"/>
          <w:szCs w:val="21"/>
          <w:lang w:eastAsia="zh-CN"/>
        </w:rPr>
        <w:t>—</w:t>
      </w:r>
      <w:r>
        <w:rPr>
          <w:szCs w:val="21"/>
        </w:rPr>
        <w:t>202</w:t>
      </w:r>
      <w:r>
        <w:rPr>
          <w:rFonts w:hint="eastAsia"/>
          <w:szCs w:val="21"/>
          <w:lang w:val="en-US" w:eastAsia="zh-CN"/>
        </w:rPr>
        <w:t>0无</w:t>
      </w:r>
      <w:r>
        <w:rPr>
          <w:rFonts w:hint="eastAsia" w:ascii="宋体" w:hAnsi="宋体"/>
          <w:szCs w:val="21"/>
        </w:rPr>
        <w:t>此</w:t>
      </w:r>
      <w:r>
        <w:rPr>
          <w:rFonts w:ascii="宋体" w:hAnsi="宋体"/>
          <w:szCs w:val="21"/>
        </w:rPr>
        <w:t>要求。</w:t>
      </w:r>
      <w:r>
        <w:rPr>
          <w:rFonts w:hint="eastAsia" w:ascii="宋体" w:hAnsi="宋体"/>
          <w:szCs w:val="21"/>
        </w:rPr>
        <w:t>讨论中多数企业认为增加标准循环不属于电池安全性考核，建议无须进行额外的标准循环，征求意见稿中暂不增加额外一次标准循环，通过征求意见形式进一步征集行业意见。外部短路保护、过充电保护、过放电保护同理。</w:t>
      </w:r>
    </w:p>
    <w:p>
      <w:pPr>
        <w:pStyle w:val="19"/>
        <w:numPr>
          <w:ilvl w:val="0"/>
          <w:numId w:val="10"/>
        </w:numPr>
        <w:spacing w:line="360" w:lineRule="auto"/>
        <w:jc w:val="both"/>
        <w:rPr>
          <w:rFonts w:ascii="宋体" w:hAnsi="宋体"/>
          <w:szCs w:val="21"/>
        </w:rPr>
      </w:pPr>
      <w:r>
        <w:rPr>
          <w:rFonts w:hint="eastAsia" w:ascii="宋体" w:hAnsi="宋体"/>
        </w:rPr>
        <w:t>过充电保护</w:t>
      </w:r>
    </w:p>
    <w:p>
      <w:pPr>
        <w:spacing w:line="360" w:lineRule="auto"/>
        <w:ind w:firstLine="420" w:firstLineChars="200"/>
        <w:jc w:val="both"/>
        <w:rPr>
          <w:rFonts w:ascii="宋体" w:hAnsi="宋体"/>
          <w:szCs w:val="21"/>
        </w:rPr>
      </w:pPr>
      <w:r>
        <w:rPr>
          <w:rFonts w:ascii="宋体" w:hAnsi="宋体"/>
          <w:szCs w:val="21"/>
        </w:rPr>
        <w:t>过充电保护为验证动力电池过充电的场景下，电池包保护功能是否起作用。测试方法对比情况如表32所示</w:t>
      </w:r>
      <w:r>
        <w:rPr>
          <w:rFonts w:hint="eastAsia" w:ascii="宋体" w:hAnsi="宋体"/>
          <w:szCs w:val="21"/>
        </w:rPr>
        <w:t>：</w:t>
      </w:r>
    </w:p>
    <w:p>
      <w:pPr>
        <w:spacing w:line="360" w:lineRule="auto"/>
        <w:ind w:firstLine="400"/>
        <w:jc w:val="center"/>
        <w:rPr>
          <w:sz w:val="20"/>
        </w:rPr>
      </w:pPr>
      <w:r>
        <w:rPr>
          <w:sz w:val="20"/>
        </w:rPr>
        <w:t>表32</w:t>
      </w:r>
      <w:r>
        <w:rPr>
          <w:rFonts w:hint="eastAsia"/>
          <w:sz w:val="20"/>
        </w:rPr>
        <w:t>：电池包或系统</w:t>
      </w:r>
      <w:r>
        <w:rPr>
          <w:sz w:val="20"/>
        </w:rPr>
        <w:t>过充电保护测试对比</w:t>
      </w:r>
    </w:p>
    <w:tbl>
      <w:tblPr>
        <w:tblStyle w:val="9"/>
        <w:tblW w:w="8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2492"/>
        <w:gridCol w:w="2410"/>
        <w:gridCol w:w="1276"/>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047" w:type="dxa"/>
            <w:shd w:val="clear" w:color="auto" w:fill="auto"/>
            <w:vAlign w:val="center"/>
          </w:tcPr>
          <w:p>
            <w:pPr>
              <w:spacing w:line="276" w:lineRule="auto"/>
              <w:jc w:val="center"/>
              <w:rPr>
                <w:sz w:val="20"/>
                <w:szCs w:val="20"/>
              </w:rPr>
            </w:pPr>
            <w:r>
              <w:rPr>
                <w:rFonts w:hint="eastAsia"/>
                <w:sz w:val="20"/>
                <w:szCs w:val="20"/>
              </w:rPr>
              <w:t>标准</w:t>
            </w:r>
          </w:p>
        </w:tc>
        <w:tc>
          <w:tcPr>
            <w:tcW w:w="2492" w:type="dxa"/>
            <w:shd w:val="clear" w:color="auto" w:fill="auto"/>
            <w:vAlign w:val="center"/>
          </w:tcPr>
          <w:p>
            <w:pPr>
              <w:spacing w:line="276" w:lineRule="auto"/>
              <w:jc w:val="center"/>
              <w:rPr>
                <w:sz w:val="20"/>
                <w:szCs w:val="20"/>
              </w:rPr>
            </w:pPr>
            <w:r>
              <w:rPr>
                <w:szCs w:val="21"/>
              </w:rPr>
              <w:t>GB 38031</w:t>
            </w:r>
            <w:r>
              <w:rPr>
                <w:rFonts w:hint="eastAsia"/>
                <w:szCs w:val="21"/>
                <w:lang w:eastAsia="zh-CN"/>
              </w:rPr>
              <w:t>—</w:t>
            </w:r>
            <w:r>
              <w:rPr>
                <w:szCs w:val="21"/>
              </w:rPr>
              <w:t>202</w:t>
            </w:r>
            <w:r>
              <w:rPr>
                <w:rFonts w:hint="eastAsia"/>
                <w:szCs w:val="21"/>
                <w:lang w:val="en-US" w:eastAsia="zh-CN"/>
              </w:rPr>
              <w:t>0</w:t>
            </w:r>
          </w:p>
        </w:tc>
        <w:tc>
          <w:tcPr>
            <w:tcW w:w="2410" w:type="dxa"/>
            <w:shd w:val="clear" w:color="auto" w:fill="auto"/>
            <w:vAlign w:val="center"/>
          </w:tcPr>
          <w:p>
            <w:pPr>
              <w:spacing w:line="276" w:lineRule="auto"/>
              <w:jc w:val="center"/>
              <w:rPr>
                <w:sz w:val="20"/>
                <w:szCs w:val="20"/>
              </w:rPr>
            </w:pPr>
            <w:r>
              <w:rPr>
                <w:sz w:val="20"/>
                <w:szCs w:val="20"/>
              </w:rPr>
              <w:t>ISO 6469-1:2019</w:t>
            </w:r>
          </w:p>
        </w:tc>
        <w:tc>
          <w:tcPr>
            <w:tcW w:w="1276" w:type="dxa"/>
            <w:shd w:val="clear" w:color="auto" w:fill="auto"/>
            <w:vAlign w:val="center"/>
          </w:tcPr>
          <w:p>
            <w:pPr>
              <w:spacing w:line="276" w:lineRule="auto"/>
              <w:jc w:val="center"/>
              <w:rPr>
                <w:sz w:val="20"/>
                <w:szCs w:val="20"/>
              </w:rPr>
            </w:pPr>
            <w:r>
              <w:rPr>
                <w:sz w:val="20"/>
                <w:szCs w:val="20"/>
              </w:rPr>
              <w:t>EVS-GTR</w:t>
            </w:r>
          </w:p>
        </w:tc>
        <w:tc>
          <w:tcPr>
            <w:tcW w:w="1153" w:type="dxa"/>
            <w:shd w:val="clear" w:color="auto" w:fill="auto"/>
            <w:vAlign w:val="center"/>
          </w:tcPr>
          <w:p>
            <w:pPr>
              <w:spacing w:line="276" w:lineRule="auto"/>
              <w:jc w:val="center"/>
              <w:rPr>
                <w:sz w:val="20"/>
                <w:szCs w:val="20"/>
              </w:rPr>
            </w:pPr>
            <w:r>
              <w:rPr>
                <w:sz w:val="20"/>
                <w:szCs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047" w:type="dxa"/>
            <w:shd w:val="clear" w:color="auto" w:fill="auto"/>
            <w:vAlign w:val="center"/>
          </w:tcPr>
          <w:p>
            <w:pPr>
              <w:widowControl w:val="0"/>
              <w:spacing w:line="276" w:lineRule="auto"/>
              <w:jc w:val="center"/>
              <w:rPr>
                <w:sz w:val="20"/>
                <w:szCs w:val="20"/>
              </w:rPr>
            </w:pPr>
            <w:r>
              <w:rPr>
                <w:sz w:val="20"/>
                <w:szCs w:val="20"/>
              </w:rPr>
              <w:t>试验对象</w:t>
            </w:r>
          </w:p>
        </w:tc>
        <w:tc>
          <w:tcPr>
            <w:tcW w:w="2492" w:type="dxa"/>
            <w:shd w:val="clear" w:color="auto" w:fill="auto"/>
            <w:vAlign w:val="center"/>
          </w:tcPr>
          <w:p>
            <w:pPr>
              <w:widowControl w:val="0"/>
              <w:spacing w:line="276" w:lineRule="auto"/>
              <w:jc w:val="both"/>
              <w:rPr>
                <w:sz w:val="20"/>
                <w:szCs w:val="20"/>
              </w:rPr>
            </w:pPr>
            <w:r>
              <w:rPr>
                <w:sz w:val="20"/>
                <w:szCs w:val="20"/>
              </w:rPr>
              <w:t>电池系统</w:t>
            </w:r>
          </w:p>
        </w:tc>
        <w:tc>
          <w:tcPr>
            <w:tcW w:w="2410" w:type="dxa"/>
            <w:shd w:val="clear" w:color="auto" w:fill="auto"/>
            <w:vAlign w:val="center"/>
          </w:tcPr>
          <w:p>
            <w:pPr>
              <w:widowControl w:val="0"/>
              <w:spacing w:line="276" w:lineRule="auto"/>
              <w:ind w:right="-105" w:rightChars="-50"/>
              <w:jc w:val="both"/>
              <w:rPr>
                <w:sz w:val="20"/>
                <w:szCs w:val="20"/>
              </w:rPr>
            </w:pPr>
            <w:r>
              <w:rPr>
                <w:sz w:val="20"/>
                <w:szCs w:val="20"/>
              </w:rPr>
              <w:t>电池系统</w:t>
            </w:r>
          </w:p>
        </w:tc>
        <w:tc>
          <w:tcPr>
            <w:tcW w:w="2429" w:type="dxa"/>
            <w:gridSpan w:val="2"/>
            <w:shd w:val="clear" w:color="auto" w:fill="auto"/>
            <w:vAlign w:val="center"/>
          </w:tcPr>
          <w:p>
            <w:pPr>
              <w:widowControl w:val="0"/>
              <w:spacing w:line="276" w:lineRule="auto"/>
              <w:jc w:val="both"/>
              <w:rPr>
                <w:sz w:val="20"/>
                <w:szCs w:val="20"/>
              </w:rPr>
            </w:pPr>
            <w:r>
              <w:rPr>
                <w:sz w:val="20"/>
                <w:szCs w:val="20"/>
              </w:rPr>
              <w:t>电池系统、整车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047" w:type="dxa"/>
            <w:shd w:val="clear" w:color="auto" w:fill="auto"/>
            <w:vAlign w:val="center"/>
          </w:tcPr>
          <w:p>
            <w:pPr>
              <w:widowControl w:val="0"/>
              <w:spacing w:line="276" w:lineRule="auto"/>
              <w:jc w:val="center"/>
              <w:rPr>
                <w:sz w:val="20"/>
                <w:szCs w:val="20"/>
              </w:rPr>
            </w:pPr>
            <w:r>
              <w:rPr>
                <w:sz w:val="20"/>
                <w:szCs w:val="20"/>
              </w:rPr>
              <w:t>SOC状态要求</w:t>
            </w:r>
          </w:p>
        </w:tc>
        <w:tc>
          <w:tcPr>
            <w:tcW w:w="2492" w:type="dxa"/>
            <w:shd w:val="clear" w:color="auto" w:fill="auto"/>
            <w:vAlign w:val="center"/>
          </w:tcPr>
          <w:p>
            <w:pPr>
              <w:widowControl w:val="0"/>
              <w:spacing w:line="276" w:lineRule="auto"/>
              <w:jc w:val="both"/>
              <w:rPr>
                <w:sz w:val="20"/>
                <w:szCs w:val="20"/>
              </w:rPr>
            </w:pPr>
            <w:r>
              <w:rPr>
                <w:sz w:val="20"/>
                <w:szCs w:val="20"/>
              </w:rPr>
              <w:t>正常工作范围的中间状态</w:t>
            </w:r>
          </w:p>
        </w:tc>
        <w:tc>
          <w:tcPr>
            <w:tcW w:w="2410" w:type="dxa"/>
            <w:shd w:val="clear" w:color="auto" w:fill="auto"/>
            <w:vAlign w:val="center"/>
          </w:tcPr>
          <w:p>
            <w:pPr>
              <w:widowControl w:val="0"/>
              <w:spacing w:line="276" w:lineRule="auto"/>
              <w:jc w:val="both"/>
              <w:rPr>
                <w:sz w:val="20"/>
                <w:szCs w:val="20"/>
              </w:rPr>
            </w:pPr>
            <w:r>
              <w:rPr>
                <w:rFonts w:hint="eastAsia"/>
                <w:sz w:val="20"/>
                <w:szCs w:val="20"/>
              </w:rPr>
              <w:t>最高使用SOC</w:t>
            </w:r>
          </w:p>
        </w:tc>
        <w:tc>
          <w:tcPr>
            <w:tcW w:w="2429" w:type="dxa"/>
            <w:gridSpan w:val="2"/>
            <w:shd w:val="clear" w:color="auto" w:fill="auto"/>
            <w:vAlign w:val="center"/>
          </w:tcPr>
          <w:p>
            <w:pPr>
              <w:widowControl w:val="0"/>
              <w:spacing w:line="276" w:lineRule="auto"/>
              <w:jc w:val="both"/>
              <w:rPr>
                <w:sz w:val="20"/>
                <w:szCs w:val="20"/>
              </w:rPr>
            </w:pPr>
            <w:r>
              <w:rPr>
                <w:sz w:val="20"/>
                <w:szCs w:val="20"/>
              </w:rPr>
              <w:t>正常工作范围的中间状态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047" w:type="dxa"/>
            <w:shd w:val="clear" w:color="auto" w:fill="auto"/>
            <w:vAlign w:val="center"/>
          </w:tcPr>
          <w:p>
            <w:pPr>
              <w:widowControl w:val="0"/>
              <w:spacing w:line="276" w:lineRule="auto"/>
              <w:jc w:val="center"/>
              <w:rPr>
                <w:sz w:val="20"/>
                <w:szCs w:val="20"/>
              </w:rPr>
            </w:pPr>
            <w:r>
              <w:rPr>
                <w:sz w:val="20"/>
                <w:szCs w:val="20"/>
              </w:rPr>
              <w:t>试验温度</w:t>
            </w:r>
          </w:p>
        </w:tc>
        <w:tc>
          <w:tcPr>
            <w:tcW w:w="2492" w:type="dxa"/>
            <w:shd w:val="clear" w:color="auto" w:fill="auto"/>
            <w:vAlign w:val="center"/>
          </w:tcPr>
          <w:p>
            <w:pPr>
              <w:widowControl w:val="0"/>
              <w:spacing w:line="276" w:lineRule="auto"/>
              <w:jc w:val="both"/>
              <w:rPr>
                <w:sz w:val="20"/>
                <w:szCs w:val="20"/>
              </w:rPr>
            </w:pPr>
            <w:r>
              <w:rPr>
                <w:sz w:val="20"/>
                <w:szCs w:val="20"/>
              </w:rPr>
              <w:t>20 ℃±10 ℃或更高温度</w:t>
            </w:r>
          </w:p>
        </w:tc>
        <w:tc>
          <w:tcPr>
            <w:tcW w:w="2410" w:type="dxa"/>
            <w:shd w:val="clear" w:color="auto" w:fill="auto"/>
            <w:vAlign w:val="center"/>
          </w:tcPr>
          <w:p>
            <w:pPr>
              <w:widowControl w:val="0"/>
              <w:spacing w:line="276" w:lineRule="auto"/>
              <w:jc w:val="both"/>
              <w:rPr>
                <w:sz w:val="20"/>
                <w:szCs w:val="20"/>
              </w:rPr>
            </w:pPr>
            <w:r>
              <w:rPr>
                <w:sz w:val="20"/>
                <w:szCs w:val="20"/>
              </w:rPr>
              <w:t>20 ℃±10 ℃</w:t>
            </w:r>
          </w:p>
        </w:tc>
        <w:tc>
          <w:tcPr>
            <w:tcW w:w="2429" w:type="dxa"/>
            <w:gridSpan w:val="2"/>
            <w:shd w:val="clear" w:color="auto" w:fill="auto"/>
            <w:vAlign w:val="center"/>
          </w:tcPr>
          <w:p>
            <w:pPr>
              <w:widowControl w:val="0"/>
              <w:spacing w:line="276" w:lineRule="auto"/>
              <w:jc w:val="both"/>
              <w:rPr>
                <w:sz w:val="20"/>
                <w:szCs w:val="20"/>
              </w:rPr>
            </w:pPr>
            <w:r>
              <w:rPr>
                <w:sz w:val="20"/>
                <w:szCs w:val="20"/>
              </w:rPr>
              <w:t>20 ℃±10 ℃或更高温度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1047" w:type="dxa"/>
            <w:shd w:val="clear" w:color="auto" w:fill="auto"/>
            <w:vAlign w:val="center"/>
          </w:tcPr>
          <w:p>
            <w:pPr>
              <w:widowControl w:val="0"/>
              <w:spacing w:line="276" w:lineRule="auto"/>
              <w:jc w:val="center"/>
              <w:rPr>
                <w:sz w:val="20"/>
                <w:szCs w:val="20"/>
              </w:rPr>
            </w:pPr>
            <w:r>
              <w:rPr>
                <w:sz w:val="20"/>
                <w:szCs w:val="20"/>
              </w:rPr>
              <w:t>试验前</w:t>
            </w:r>
          </w:p>
        </w:tc>
        <w:tc>
          <w:tcPr>
            <w:tcW w:w="2492" w:type="dxa"/>
            <w:shd w:val="clear" w:color="auto" w:fill="auto"/>
            <w:vAlign w:val="center"/>
          </w:tcPr>
          <w:p>
            <w:pPr>
              <w:widowControl w:val="0"/>
              <w:spacing w:line="276" w:lineRule="auto"/>
              <w:jc w:val="both"/>
              <w:rPr>
                <w:sz w:val="20"/>
                <w:szCs w:val="20"/>
              </w:rPr>
            </w:pPr>
            <w:r>
              <w:rPr>
                <w:sz w:val="20"/>
                <w:szCs w:val="20"/>
              </w:rPr>
              <w:t>所有影响被测试装置功能和与试验结果有关的保护装置都应处于工作状态。主要接触器应闭合。</w:t>
            </w:r>
          </w:p>
        </w:tc>
        <w:tc>
          <w:tcPr>
            <w:tcW w:w="2410" w:type="dxa"/>
            <w:shd w:val="clear" w:color="auto" w:fill="auto"/>
            <w:vAlign w:val="center"/>
          </w:tcPr>
          <w:p>
            <w:pPr>
              <w:widowControl w:val="0"/>
              <w:spacing w:line="276" w:lineRule="auto"/>
              <w:jc w:val="both"/>
              <w:rPr>
                <w:sz w:val="20"/>
                <w:szCs w:val="20"/>
              </w:rPr>
            </w:pPr>
            <w:r>
              <w:rPr>
                <w:sz w:val="20"/>
                <w:szCs w:val="20"/>
              </w:rPr>
              <w:t>冷却系统正常工作。主接触器关闭。充电保护功能和充电电流控制功能（如有）处在工作状态。</w:t>
            </w:r>
          </w:p>
        </w:tc>
        <w:tc>
          <w:tcPr>
            <w:tcW w:w="2429" w:type="dxa"/>
            <w:gridSpan w:val="2"/>
            <w:shd w:val="clear" w:color="auto" w:fill="auto"/>
            <w:vAlign w:val="center"/>
          </w:tcPr>
          <w:p>
            <w:pPr>
              <w:widowControl w:val="0"/>
              <w:spacing w:line="276" w:lineRule="auto"/>
              <w:jc w:val="both"/>
              <w:rPr>
                <w:sz w:val="20"/>
                <w:szCs w:val="20"/>
              </w:rPr>
            </w:pPr>
            <w:r>
              <w:rPr>
                <w:sz w:val="20"/>
                <w:szCs w:val="20"/>
              </w:rPr>
              <w:t>所有影响被测试设备功能和与试验结果有关的保护装置都应处于可操作状态。主要接触器应闭合。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1" w:hRule="atLeast"/>
          <w:jc w:val="center"/>
        </w:trPr>
        <w:tc>
          <w:tcPr>
            <w:tcW w:w="1047" w:type="dxa"/>
            <w:shd w:val="clear" w:color="auto" w:fill="auto"/>
            <w:vAlign w:val="center"/>
          </w:tcPr>
          <w:p>
            <w:pPr>
              <w:widowControl w:val="0"/>
              <w:spacing w:line="276" w:lineRule="auto"/>
              <w:jc w:val="center"/>
              <w:rPr>
                <w:sz w:val="20"/>
                <w:szCs w:val="20"/>
              </w:rPr>
            </w:pPr>
            <w:r>
              <w:rPr>
                <w:sz w:val="20"/>
                <w:szCs w:val="20"/>
              </w:rPr>
              <w:t>试验中</w:t>
            </w:r>
          </w:p>
        </w:tc>
        <w:tc>
          <w:tcPr>
            <w:tcW w:w="2492" w:type="dxa"/>
            <w:shd w:val="clear" w:color="auto" w:fill="auto"/>
            <w:vAlign w:val="center"/>
          </w:tcPr>
          <w:p>
            <w:pPr>
              <w:widowControl w:val="0"/>
              <w:spacing w:line="276" w:lineRule="auto"/>
              <w:jc w:val="both"/>
              <w:rPr>
                <w:sz w:val="20"/>
                <w:szCs w:val="20"/>
              </w:rPr>
            </w:pPr>
            <w:r>
              <w:rPr>
                <w:sz w:val="20"/>
                <w:szCs w:val="20"/>
              </w:rPr>
              <w:t>由外部充电设备在许可的用时最短的充电策略下进行充电，直到试验结束。</w:t>
            </w:r>
          </w:p>
        </w:tc>
        <w:tc>
          <w:tcPr>
            <w:tcW w:w="2410" w:type="dxa"/>
            <w:shd w:val="clear" w:color="auto" w:fill="auto"/>
            <w:vAlign w:val="center"/>
          </w:tcPr>
          <w:p>
            <w:pPr>
              <w:widowControl w:val="0"/>
              <w:spacing w:line="276" w:lineRule="auto"/>
              <w:jc w:val="both"/>
              <w:rPr>
                <w:sz w:val="20"/>
                <w:szCs w:val="20"/>
              </w:rPr>
            </w:pPr>
            <w:r>
              <w:rPr>
                <w:sz w:val="20"/>
                <w:szCs w:val="20"/>
              </w:rPr>
              <w:t>按客户和供应商议定的最大充电电流进行充电。</w:t>
            </w:r>
          </w:p>
        </w:tc>
        <w:tc>
          <w:tcPr>
            <w:tcW w:w="2429" w:type="dxa"/>
            <w:gridSpan w:val="2"/>
            <w:shd w:val="clear" w:color="auto" w:fill="auto"/>
            <w:vAlign w:val="center"/>
          </w:tcPr>
          <w:p>
            <w:pPr>
              <w:widowControl w:val="0"/>
              <w:spacing w:line="276" w:lineRule="auto"/>
              <w:jc w:val="both"/>
              <w:rPr>
                <w:sz w:val="20"/>
                <w:szCs w:val="20"/>
              </w:rPr>
            </w:pPr>
            <w:r>
              <w:rPr>
                <w:sz w:val="20"/>
                <w:szCs w:val="20"/>
              </w:rPr>
              <w:t>由外部充放电设备以制造规定的最大充电电流充电。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6" w:hRule="atLeast"/>
          <w:jc w:val="center"/>
        </w:trPr>
        <w:tc>
          <w:tcPr>
            <w:tcW w:w="1047" w:type="dxa"/>
            <w:shd w:val="clear" w:color="auto" w:fill="auto"/>
            <w:vAlign w:val="center"/>
          </w:tcPr>
          <w:p>
            <w:pPr>
              <w:widowControl w:val="0"/>
              <w:spacing w:line="276" w:lineRule="auto"/>
              <w:jc w:val="center"/>
              <w:rPr>
                <w:sz w:val="20"/>
                <w:szCs w:val="20"/>
              </w:rPr>
            </w:pPr>
            <w:r>
              <w:rPr>
                <w:sz w:val="20"/>
                <w:szCs w:val="20"/>
              </w:rPr>
              <w:t>截止条件</w:t>
            </w:r>
          </w:p>
        </w:tc>
        <w:tc>
          <w:tcPr>
            <w:tcW w:w="2492" w:type="dxa"/>
            <w:shd w:val="clear" w:color="auto" w:fill="auto"/>
            <w:vAlign w:val="center"/>
          </w:tcPr>
          <w:p>
            <w:pPr>
              <w:spacing w:line="276" w:lineRule="auto"/>
              <w:jc w:val="both"/>
            </w:pPr>
            <w:r>
              <w:rPr>
                <w:rFonts w:hint="eastAsia"/>
                <w:sz w:val="20"/>
                <w:szCs w:val="20"/>
              </w:rPr>
              <w:t>1</w:t>
            </w:r>
            <w:r>
              <w:rPr>
                <w:sz w:val="20"/>
                <w:szCs w:val="20"/>
              </w:rPr>
              <w:t xml:space="preserve">) </w:t>
            </w:r>
            <w:r>
              <w:rPr>
                <w:rFonts w:hint="eastAsia"/>
                <w:sz w:val="20"/>
                <w:szCs w:val="20"/>
              </w:rPr>
              <w:t>终止充电电流；2</w:t>
            </w:r>
            <w:r>
              <w:rPr>
                <w:sz w:val="20"/>
                <w:szCs w:val="20"/>
              </w:rPr>
              <w:t xml:space="preserve">) </w:t>
            </w:r>
            <w:r>
              <w:rPr>
                <w:rFonts w:hint="eastAsia"/>
                <w:sz w:val="20"/>
                <w:szCs w:val="20"/>
              </w:rPr>
              <w:t>发出终止充电电流的信号；3</w:t>
            </w:r>
            <w:r>
              <w:rPr>
                <w:sz w:val="20"/>
                <w:szCs w:val="20"/>
              </w:rPr>
              <w:t xml:space="preserve">) </w:t>
            </w:r>
            <w:r>
              <w:rPr>
                <w:rFonts w:hint="eastAsia"/>
                <w:sz w:val="20"/>
                <w:szCs w:val="20"/>
              </w:rPr>
              <w:t>当试验对象的过充电保护控制未起作用，或者如果没有</w:t>
            </w:r>
            <w:r>
              <w:rPr>
                <w:sz w:val="20"/>
                <w:szCs w:val="20"/>
              </w:rPr>
              <w:t xml:space="preserve">8.2.14.4 </w:t>
            </w:r>
            <w:r>
              <w:rPr>
                <w:rFonts w:hint="eastAsia"/>
                <w:sz w:val="20"/>
                <w:szCs w:val="20"/>
              </w:rPr>
              <w:t>中</w:t>
            </w:r>
            <w:r>
              <w:rPr>
                <w:sz w:val="20"/>
                <w:szCs w:val="20"/>
              </w:rPr>
              <w:t>a</w:t>
            </w:r>
            <w:r>
              <w:rPr>
                <w:rFonts w:hint="eastAsia"/>
                <w:sz w:val="20"/>
                <w:szCs w:val="20"/>
              </w:rPr>
              <w:t>）所述的功能。继续充电，使得温度超过最高工作温度再加</w:t>
            </w:r>
            <w:r>
              <w:rPr>
                <w:sz w:val="20"/>
                <w:szCs w:val="20"/>
              </w:rPr>
              <w:t xml:space="preserve">10 </w:t>
            </w:r>
            <w:r>
              <w:rPr>
                <w:rFonts w:hint="eastAsia"/>
                <w:sz w:val="20"/>
                <w:szCs w:val="20"/>
              </w:rPr>
              <w:t>℃；</w:t>
            </w:r>
          </w:p>
          <w:p>
            <w:pPr>
              <w:widowControl w:val="0"/>
              <w:spacing w:line="276" w:lineRule="auto"/>
              <w:jc w:val="both"/>
              <w:rPr>
                <w:rFonts w:hint="eastAsia" w:eastAsia="宋体"/>
                <w:sz w:val="20"/>
                <w:szCs w:val="20"/>
                <w:lang w:eastAsia="zh-CN"/>
              </w:rPr>
            </w:pPr>
            <w:r>
              <w:rPr>
                <w:rFonts w:hint="eastAsia"/>
                <w:sz w:val="20"/>
                <w:szCs w:val="20"/>
              </w:rPr>
              <w:t>4</w:t>
            </w:r>
            <w:r>
              <w:rPr>
                <w:sz w:val="20"/>
                <w:szCs w:val="20"/>
              </w:rPr>
              <w:t xml:space="preserve">) </w:t>
            </w:r>
            <w:r>
              <w:rPr>
                <w:rFonts w:hint="eastAsia"/>
                <w:sz w:val="20"/>
                <w:szCs w:val="20"/>
              </w:rPr>
              <w:t>当充电电流未终止且试验对象温度低于最高工作温度再加</w:t>
            </w:r>
            <w:r>
              <w:rPr>
                <w:sz w:val="20"/>
                <w:szCs w:val="20"/>
              </w:rPr>
              <w:t xml:space="preserve">10 </w:t>
            </w:r>
            <w:r>
              <w:rPr>
                <w:rFonts w:hint="eastAsia"/>
                <w:sz w:val="20"/>
                <w:szCs w:val="20"/>
              </w:rPr>
              <w:t>℃时，充电应持续</w:t>
            </w:r>
            <w:r>
              <w:rPr>
                <w:sz w:val="20"/>
                <w:szCs w:val="20"/>
              </w:rPr>
              <w:t>12 h</w:t>
            </w:r>
            <w:r>
              <w:rPr>
                <w:rFonts w:hint="eastAsia"/>
                <w:sz w:val="20"/>
                <w:szCs w:val="20"/>
                <w:lang w:eastAsia="zh-CN"/>
              </w:rPr>
              <w:t>。</w:t>
            </w:r>
          </w:p>
        </w:tc>
        <w:tc>
          <w:tcPr>
            <w:tcW w:w="2410" w:type="dxa"/>
            <w:shd w:val="clear" w:color="auto" w:fill="auto"/>
            <w:vAlign w:val="center"/>
          </w:tcPr>
          <w:p>
            <w:pPr>
              <w:widowControl w:val="0"/>
              <w:spacing w:line="276" w:lineRule="auto"/>
              <w:jc w:val="both"/>
              <w:rPr>
                <w:sz w:val="20"/>
                <w:szCs w:val="20"/>
              </w:rPr>
            </w:pPr>
            <w:r>
              <w:rPr>
                <w:rFonts w:hint="eastAsia"/>
                <w:sz w:val="20"/>
                <w:szCs w:val="20"/>
              </w:rPr>
              <w:t>1</w:t>
            </w:r>
            <w:r>
              <w:rPr>
                <w:sz w:val="20"/>
                <w:szCs w:val="20"/>
              </w:rPr>
              <w:t>) 中断充电电流。</w:t>
            </w:r>
          </w:p>
          <w:p>
            <w:pPr>
              <w:widowControl w:val="0"/>
              <w:spacing w:line="276" w:lineRule="auto"/>
              <w:jc w:val="both"/>
              <w:rPr>
                <w:sz w:val="20"/>
                <w:szCs w:val="20"/>
              </w:rPr>
            </w:pPr>
            <w:r>
              <w:rPr>
                <w:rFonts w:hint="eastAsia"/>
                <w:sz w:val="20"/>
                <w:szCs w:val="20"/>
              </w:rPr>
              <w:t>2</w:t>
            </w:r>
            <w:r>
              <w:rPr>
                <w:sz w:val="20"/>
                <w:szCs w:val="20"/>
              </w:rPr>
              <w:t>) 持续充电12小时。</w:t>
            </w:r>
          </w:p>
          <w:p>
            <w:pPr>
              <w:widowControl w:val="0"/>
              <w:spacing w:line="276" w:lineRule="auto"/>
              <w:jc w:val="both"/>
              <w:rPr>
                <w:sz w:val="20"/>
                <w:szCs w:val="20"/>
              </w:rPr>
            </w:pPr>
            <w:r>
              <w:rPr>
                <w:sz w:val="20"/>
                <w:szCs w:val="20"/>
              </w:rPr>
              <w:t>3) 温升降至1小时内梯度变化小于2K。</w:t>
            </w:r>
          </w:p>
          <w:p>
            <w:pPr>
              <w:widowControl w:val="0"/>
              <w:spacing w:line="276" w:lineRule="auto"/>
              <w:jc w:val="both"/>
              <w:rPr>
                <w:sz w:val="20"/>
                <w:szCs w:val="20"/>
              </w:rPr>
            </w:pPr>
            <w:r>
              <w:rPr>
                <w:sz w:val="20"/>
                <w:szCs w:val="20"/>
              </w:rPr>
              <w:t>4)  SOC或电压或RESS最高温度超过客户和供应商议定的上限。在这种情况下，试验失败。</w:t>
            </w:r>
          </w:p>
        </w:tc>
        <w:tc>
          <w:tcPr>
            <w:tcW w:w="2429" w:type="dxa"/>
            <w:gridSpan w:val="2"/>
            <w:shd w:val="clear" w:color="auto" w:fill="auto"/>
            <w:vAlign w:val="center"/>
          </w:tcPr>
          <w:p>
            <w:pPr>
              <w:widowControl w:val="0"/>
              <w:spacing w:line="276" w:lineRule="auto"/>
              <w:jc w:val="both"/>
              <w:rPr>
                <w:rFonts w:hint="eastAsia" w:eastAsia="宋体"/>
                <w:sz w:val="20"/>
                <w:szCs w:val="20"/>
                <w:lang w:eastAsia="zh-CN"/>
              </w:rPr>
            </w:pPr>
            <w:r>
              <w:rPr>
                <w:rFonts w:hint="eastAsia"/>
                <w:sz w:val="20"/>
                <w:szCs w:val="20"/>
              </w:rPr>
              <w:t>1</w:t>
            </w:r>
            <w:r>
              <w:rPr>
                <w:sz w:val="20"/>
                <w:szCs w:val="20"/>
              </w:rPr>
              <w:t>) 终止充电电流</w:t>
            </w:r>
            <w:r>
              <w:rPr>
                <w:rFonts w:hint="eastAsia"/>
                <w:sz w:val="20"/>
                <w:szCs w:val="20"/>
                <w:lang w:eastAsia="zh-CN"/>
              </w:rPr>
              <w:t>；</w:t>
            </w:r>
          </w:p>
          <w:p>
            <w:pPr>
              <w:widowControl w:val="0"/>
              <w:spacing w:line="276" w:lineRule="auto"/>
              <w:jc w:val="both"/>
              <w:rPr>
                <w:rFonts w:hint="eastAsia" w:eastAsia="宋体"/>
                <w:sz w:val="20"/>
                <w:szCs w:val="20"/>
                <w:lang w:eastAsia="zh-CN"/>
              </w:rPr>
            </w:pPr>
            <w:r>
              <w:rPr>
                <w:rFonts w:hint="eastAsia"/>
                <w:sz w:val="20"/>
                <w:szCs w:val="20"/>
              </w:rPr>
              <w:t>2</w:t>
            </w:r>
            <w:r>
              <w:rPr>
                <w:sz w:val="20"/>
                <w:szCs w:val="20"/>
              </w:rPr>
              <w:t>) 如果REESS的过充保护控制不工作，或者没有过充保护控制。继续充电，直到温度比最高工作温度高10℃为止</w:t>
            </w:r>
            <w:r>
              <w:rPr>
                <w:rFonts w:hint="eastAsia"/>
                <w:sz w:val="20"/>
                <w:szCs w:val="20"/>
                <w:lang w:eastAsia="zh-CN"/>
              </w:rPr>
              <w:t>；</w:t>
            </w:r>
          </w:p>
          <w:p>
            <w:pPr>
              <w:widowControl w:val="0"/>
              <w:spacing w:line="276" w:lineRule="auto"/>
              <w:jc w:val="both"/>
              <w:rPr>
                <w:rFonts w:hint="eastAsia" w:eastAsia="宋体"/>
                <w:sz w:val="20"/>
                <w:szCs w:val="20"/>
                <w:lang w:eastAsia="zh-CN"/>
              </w:rPr>
            </w:pPr>
            <w:r>
              <w:rPr>
                <w:sz w:val="20"/>
                <w:szCs w:val="20"/>
              </w:rPr>
              <w:t>3) 当充电电流未终止且试验对象温度低于最高工作温度再加10 ℃时，充电应持续12 h</w:t>
            </w:r>
            <w:r>
              <w:rPr>
                <w:rFonts w:hint="eastAsia"/>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047" w:type="dxa"/>
            <w:shd w:val="clear" w:color="auto" w:fill="auto"/>
            <w:vAlign w:val="center"/>
          </w:tcPr>
          <w:p>
            <w:pPr>
              <w:widowControl w:val="0"/>
              <w:spacing w:line="276" w:lineRule="auto"/>
              <w:jc w:val="center"/>
              <w:rPr>
                <w:sz w:val="20"/>
                <w:szCs w:val="20"/>
              </w:rPr>
            </w:pPr>
            <w:r>
              <w:rPr>
                <w:sz w:val="20"/>
                <w:szCs w:val="20"/>
              </w:rPr>
              <w:t>试验后</w:t>
            </w:r>
          </w:p>
        </w:tc>
        <w:tc>
          <w:tcPr>
            <w:tcW w:w="2492" w:type="dxa"/>
            <w:shd w:val="clear" w:color="auto" w:fill="auto"/>
            <w:vAlign w:val="center"/>
          </w:tcPr>
          <w:p>
            <w:pPr>
              <w:widowControl w:val="0"/>
              <w:spacing w:line="276" w:lineRule="auto"/>
              <w:jc w:val="both"/>
              <w:rPr>
                <w:sz w:val="20"/>
                <w:szCs w:val="20"/>
              </w:rPr>
            </w:pPr>
            <w:r>
              <w:rPr>
                <w:sz w:val="20"/>
                <w:szCs w:val="20"/>
              </w:rPr>
              <w:t>试验后观察1h。</w:t>
            </w:r>
          </w:p>
        </w:tc>
        <w:tc>
          <w:tcPr>
            <w:tcW w:w="2410" w:type="dxa"/>
            <w:shd w:val="clear" w:color="auto" w:fill="auto"/>
            <w:vAlign w:val="center"/>
          </w:tcPr>
          <w:p>
            <w:pPr>
              <w:widowControl w:val="0"/>
              <w:spacing w:line="276" w:lineRule="auto"/>
              <w:jc w:val="both"/>
              <w:rPr>
                <w:sz w:val="20"/>
                <w:szCs w:val="20"/>
              </w:rPr>
            </w:pPr>
            <w:r>
              <w:rPr>
                <w:sz w:val="20"/>
                <w:szCs w:val="20"/>
              </w:rPr>
              <w:t>/</w:t>
            </w:r>
          </w:p>
        </w:tc>
        <w:tc>
          <w:tcPr>
            <w:tcW w:w="2429" w:type="dxa"/>
            <w:gridSpan w:val="2"/>
            <w:shd w:val="clear" w:color="auto" w:fill="auto"/>
            <w:vAlign w:val="center"/>
          </w:tcPr>
          <w:p>
            <w:pPr>
              <w:widowControl w:val="0"/>
              <w:spacing w:line="276" w:lineRule="auto"/>
              <w:jc w:val="both"/>
              <w:rPr>
                <w:sz w:val="20"/>
                <w:szCs w:val="20"/>
              </w:rPr>
            </w:pPr>
            <w:r>
              <w:rPr>
                <w:sz w:val="20"/>
                <w:szCs w:val="20"/>
              </w:rPr>
              <w:t>如果REESS允许，应立即使进行标准循环。再观察1h。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9" w:hRule="atLeast"/>
          <w:jc w:val="center"/>
        </w:trPr>
        <w:tc>
          <w:tcPr>
            <w:tcW w:w="1047" w:type="dxa"/>
            <w:shd w:val="clear" w:color="auto" w:fill="auto"/>
            <w:vAlign w:val="center"/>
          </w:tcPr>
          <w:p>
            <w:pPr>
              <w:widowControl w:val="0"/>
              <w:spacing w:line="276" w:lineRule="auto"/>
              <w:jc w:val="center"/>
              <w:rPr>
                <w:sz w:val="20"/>
                <w:szCs w:val="20"/>
              </w:rPr>
            </w:pPr>
            <w:r>
              <w:rPr>
                <w:rFonts w:hint="eastAsia"/>
                <w:sz w:val="20"/>
                <w:szCs w:val="20"/>
              </w:rPr>
              <w:t>判定条件</w:t>
            </w:r>
          </w:p>
        </w:tc>
        <w:tc>
          <w:tcPr>
            <w:tcW w:w="2492" w:type="dxa"/>
            <w:shd w:val="clear" w:color="auto" w:fill="auto"/>
            <w:vAlign w:val="center"/>
          </w:tcPr>
          <w:p>
            <w:pPr>
              <w:widowControl w:val="0"/>
              <w:spacing w:line="276" w:lineRule="auto"/>
              <w:jc w:val="both"/>
              <w:rPr>
                <w:sz w:val="20"/>
                <w:szCs w:val="20"/>
              </w:rPr>
            </w:pPr>
            <w:r>
              <w:rPr>
                <w:sz w:val="20"/>
                <w:szCs w:val="20"/>
              </w:rPr>
              <w:t>无泄漏、破裂、起火或爆炸</w:t>
            </w:r>
            <w:r>
              <w:rPr>
                <w:rFonts w:hint="eastAsia"/>
                <w:sz w:val="20"/>
                <w:szCs w:val="20"/>
              </w:rPr>
              <w:t>；</w:t>
            </w:r>
          </w:p>
          <w:p>
            <w:pPr>
              <w:widowControl w:val="0"/>
              <w:spacing w:line="276" w:lineRule="auto"/>
              <w:jc w:val="both"/>
              <w:rPr>
                <w:rFonts w:hint="eastAsia" w:eastAsia="宋体"/>
                <w:sz w:val="20"/>
                <w:szCs w:val="20"/>
                <w:lang w:eastAsia="zh-CN"/>
              </w:rPr>
            </w:pPr>
            <w:r>
              <w:rPr>
                <w:rFonts w:hint="eastAsia"/>
                <w:sz w:val="20"/>
                <w:szCs w:val="20"/>
              </w:rPr>
              <w:t>绝缘阻抗</w:t>
            </w:r>
            <w:r>
              <w:rPr>
                <w:sz w:val="20"/>
                <w:szCs w:val="20"/>
              </w:rPr>
              <w:t>≥100 Ω/V</w:t>
            </w:r>
            <w:r>
              <w:rPr>
                <w:rFonts w:hint="eastAsia"/>
                <w:sz w:val="20"/>
                <w:szCs w:val="20"/>
                <w:lang w:eastAsia="zh-CN"/>
              </w:rPr>
              <w:t>。</w:t>
            </w:r>
          </w:p>
        </w:tc>
        <w:tc>
          <w:tcPr>
            <w:tcW w:w="2410" w:type="dxa"/>
            <w:shd w:val="clear" w:color="auto" w:fill="auto"/>
            <w:vAlign w:val="center"/>
          </w:tcPr>
          <w:p>
            <w:pPr>
              <w:widowControl w:val="0"/>
              <w:spacing w:line="276" w:lineRule="auto"/>
              <w:jc w:val="both"/>
              <w:rPr>
                <w:sz w:val="20"/>
                <w:szCs w:val="20"/>
              </w:rPr>
            </w:pPr>
            <w:r>
              <w:rPr>
                <w:sz w:val="20"/>
                <w:szCs w:val="20"/>
              </w:rPr>
              <w:t>无泄漏、破裂、起火或爆炸现象。试验后的绝缘电阻应符合原文4.2节要求</w:t>
            </w:r>
          </w:p>
        </w:tc>
        <w:tc>
          <w:tcPr>
            <w:tcW w:w="2429" w:type="dxa"/>
            <w:gridSpan w:val="2"/>
            <w:shd w:val="clear" w:color="auto" w:fill="auto"/>
            <w:vAlign w:val="center"/>
          </w:tcPr>
          <w:p>
            <w:pPr>
              <w:widowControl w:val="0"/>
              <w:spacing w:line="276" w:lineRule="auto"/>
              <w:jc w:val="both"/>
              <w:rPr>
                <w:sz w:val="20"/>
                <w:szCs w:val="20"/>
              </w:rPr>
            </w:pPr>
            <w:r>
              <w:rPr>
                <w:sz w:val="20"/>
                <w:szCs w:val="20"/>
              </w:rPr>
              <w:t>无电解液泄漏、破裂、排气（开式电池除外）、起火或爆炸</w:t>
            </w:r>
            <w:r>
              <w:rPr>
                <w:rFonts w:hint="eastAsia"/>
                <w:sz w:val="20"/>
                <w:szCs w:val="20"/>
              </w:rPr>
              <w:t>；</w:t>
            </w:r>
          </w:p>
          <w:p>
            <w:pPr>
              <w:widowControl w:val="0"/>
              <w:spacing w:line="276" w:lineRule="auto"/>
              <w:jc w:val="both"/>
              <w:rPr>
                <w:rFonts w:hint="eastAsia" w:eastAsia="宋体"/>
                <w:sz w:val="20"/>
                <w:szCs w:val="20"/>
                <w:lang w:eastAsia="zh-CN"/>
              </w:rPr>
            </w:pPr>
            <w:r>
              <w:rPr>
                <w:rFonts w:hint="eastAsia"/>
                <w:sz w:val="20"/>
                <w:szCs w:val="20"/>
              </w:rPr>
              <w:t>绝缘阻抗</w:t>
            </w:r>
            <w:r>
              <w:rPr>
                <w:sz w:val="20"/>
                <w:szCs w:val="20"/>
              </w:rPr>
              <w:t>≥100 Ω/V</w:t>
            </w:r>
            <w:r>
              <w:rPr>
                <w:rFonts w:hint="eastAsia"/>
                <w:sz w:val="20"/>
                <w:szCs w:val="20"/>
                <w:lang w:eastAsia="zh-CN"/>
              </w:rPr>
              <w:t>。</w:t>
            </w:r>
          </w:p>
        </w:tc>
      </w:tr>
    </w:tbl>
    <w:p>
      <w:pPr>
        <w:spacing w:line="360" w:lineRule="auto"/>
        <w:ind w:firstLine="420"/>
        <w:jc w:val="both"/>
        <w:rPr>
          <w:rFonts w:ascii="宋体" w:hAnsi="宋体"/>
          <w:szCs w:val="21"/>
        </w:rPr>
      </w:pPr>
      <w:r>
        <w:rPr>
          <w:rFonts w:hint="eastAsia" w:ascii="宋体" w:hAnsi="宋体"/>
          <w:szCs w:val="21"/>
        </w:rPr>
        <w:t>a</w:t>
      </w:r>
      <w:r>
        <w:rPr>
          <w:rFonts w:ascii="宋体" w:hAnsi="宋体"/>
          <w:szCs w:val="21"/>
        </w:rPr>
        <w:t>）</w:t>
      </w:r>
      <w:r>
        <w:rPr>
          <w:szCs w:val="21"/>
        </w:rPr>
        <w:t>ISO 6469-1</w:t>
      </w:r>
      <w:r>
        <w:rPr>
          <w:rFonts w:ascii="宋体" w:hAnsi="宋体"/>
          <w:szCs w:val="21"/>
        </w:rPr>
        <w:t>要求测试时开启液冷系统，其他标准和国标均未做强制。考虑到开启夜冷系统针对电池降温有辅助效果，不开启</w:t>
      </w:r>
      <w:r>
        <w:rPr>
          <w:rFonts w:hint="eastAsia" w:ascii="宋体" w:hAnsi="宋体"/>
          <w:szCs w:val="21"/>
        </w:rPr>
        <w:t>反而有</w:t>
      </w:r>
      <w:r>
        <w:rPr>
          <w:rFonts w:ascii="宋体" w:hAnsi="宋体"/>
          <w:szCs w:val="21"/>
        </w:rPr>
        <w:t>加严测试</w:t>
      </w:r>
      <w:r>
        <w:rPr>
          <w:rFonts w:hint="eastAsia" w:ascii="宋体" w:hAnsi="宋体"/>
          <w:szCs w:val="21"/>
        </w:rPr>
        <w:t>效果</w:t>
      </w:r>
      <w:r>
        <w:rPr>
          <w:rFonts w:ascii="宋体" w:hAnsi="宋体"/>
          <w:szCs w:val="21"/>
        </w:rPr>
        <w:t>，</w:t>
      </w:r>
      <w:r>
        <w:rPr>
          <w:rFonts w:hint="eastAsia" w:ascii="宋体" w:hAnsi="宋体"/>
          <w:szCs w:val="21"/>
        </w:rPr>
        <w:t>国标严于国际标准，</w:t>
      </w:r>
      <w:r>
        <w:rPr>
          <w:rFonts w:ascii="宋体" w:hAnsi="宋体"/>
          <w:szCs w:val="21"/>
        </w:rPr>
        <w:t>因此国标保持不变。</w:t>
      </w:r>
    </w:p>
    <w:p>
      <w:pPr>
        <w:spacing w:line="360" w:lineRule="auto"/>
        <w:ind w:firstLine="420"/>
        <w:jc w:val="both"/>
        <w:rPr>
          <w:rFonts w:ascii="宋体" w:hAnsi="宋体"/>
          <w:szCs w:val="21"/>
        </w:rPr>
      </w:pPr>
      <w:r>
        <w:rPr>
          <w:rFonts w:hint="eastAsia" w:ascii="宋体" w:hAnsi="宋体"/>
          <w:szCs w:val="21"/>
        </w:rPr>
        <w:t>b</w:t>
      </w:r>
      <w:r>
        <w:rPr>
          <w:rFonts w:ascii="宋体" w:hAnsi="宋体"/>
          <w:szCs w:val="21"/>
        </w:rPr>
        <w:t>）</w:t>
      </w:r>
      <w:r>
        <w:rPr>
          <w:szCs w:val="21"/>
        </w:rPr>
        <w:t>ISO 6469-1</w:t>
      </w:r>
      <w:r>
        <w:rPr>
          <w:rFonts w:ascii="宋体" w:hAnsi="宋体"/>
          <w:szCs w:val="21"/>
        </w:rPr>
        <w:t>中，将“</w:t>
      </w:r>
      <w:r>
        <w:rPr>
          <w:szCs w:val="21"/>
        </w:rPr>
        <w:t>RESS</w:t>
      </w:r>
      <w:r>
        <w:rPr>
          <w:rFonts w:ascii="宋体" w:hAnsi="宋体"/>
          <w:szCs w:val="21"/>
        </w:rPr>
        <w:t>温升降至1小时内梯度变化小于</w:t>
      </w:r>
      <w:r>
        <w:rPr>
          <w:szCs w:val="21"/>
        </w:rPr>
        <w:t>2K</w:t>
      </w:r>
      <w:r>
        <w:rPr>
          <w:rFonts w:ascii="宋体" w:hAnsi="宋体"/>
          <w:szCs w:val="21"/>
        </w:rPr>
        <w:t>”，“</w:t>
      </w:r>
      <w:r>
        <w:rPr>
          <w:szCs w:val="21"/>
        </w:rPr>
        <w:t>SOC</w:t>
      </w:r>
      <w:r>
        <w:rPr>
          <w:rFonts w:ascii="宋体" w:hAnsi="宋体"/>
          <w:szCs w:val="21"/>
        </w:rPr>
        <w:t>或电压或RESS最高温度超过客户和供应商议定的上限”作为试验截止条件。“1小时内梯度变化小于</w:t>
      </w:r>
      <w:r>
        <w:rPr>
          <w:szCs w:val="21"/>
        </w:rPr>
        <w:t>2K</w:t>
      </w:r>
      <w:r>
        <w:rPr>
          <w:rFonts w:ascii="宋体" w:hAnsi="宋体"/>
          <w:szCs w:val="21"/>
        </w:rPr>
        <w:t>”适用于过充时温度在正常温度范围内即稳定的情况。“</w:t>
      </w:r>
      <w:r>
        <w:rPr>
          <w:szCs w:val="21"/>
        </w:rPr>
        <w:t>SOC</w:t>
      </w:r>
      <w:r>
        <w:rPr>
          <w:rFonts w:ascii="宋体" w:hAnsi="宋体"/>
          <w:szCs w:val="21"/>
        </w:rPr>
        <w:t>或电压或</w:t>
      </w:r>
      <w:r>
        <w:rPr>
          <w:szCs w:val="21"/>
        </w:rPr>
        <w:t>RESS</w:t>
      </w:r>
      <w:r>
        <w:rPr>
          <w:rFonts w:ascii="宋体" w:hAnsi="宋体"/>
          <w:szCs w:val="21"/>
        </w:rPr>
        <w:t>最高温度超过客户和供应商议定的上限”适用于温度超过正常工作温度范围后的条件。与</w:t>
      </w:r>
      <w:r>
        <w:rPr>
          <w:szCs w:val="21"/>
        </w:rPr>
        <w:t>GB 38031</w:t>
      </w:r>
      <w:r>
        <w:rPr>
          <w:rFonts w:ascii="宋体" w:hAnsi="宋体"/>
          <w:szCs w:val="21"/>
        </w:rPr>
        <w:t>中条件</w:t>
      </w:r>
      <w:r>
        <w:rPr>
          <w:szCs w:val="21"/>
        </w:rPr>
        <w:t>3</w:t>
      </w:r>
      <w:r>
        <w:rPr>
          <w:rFonts w:ascii="宋体" w:hAnsi="宋体"/>
          <w:szCs w:val="21"/>
        </w:rPr>
        <w:t>和条件</w:t>
      </w:r>
      <w:r>
        <w:rPr>
          <w:szCs w:val="21"/>
        </w:rPr>
        <w:t>4</w:t>
      </w:r>
      <w:r>
        <w:rPr>
          <w:rFonts w:ascii="宋体" w:hAnsi="宋体"/>
          <w:szCs w:val="21"/>
        </w:rPr>
        <w:t>是类似的效果。</w:t>
      </w:r>
      <w:r>
        <w:rPr>
          <w:rFonts w:hint="eastAsia" w:ascii="宋体" w:hAnsi="宋体"/>
          <w:szCs w:val="21"/>
        </w:rPr>
        <w:t>无需修改。</w:t>
      </w:r>
    </w:p>
    <w:p>
      <w:pPr>
        <w:pStyle w:val="19"/>
        <w:numPr>
          <w:ilvl w:val="0"/>
          <w:numId w:val="10"/>
        </w:numPr>
        <w:spacing w:line="360" w:lineRule="auto"/>
        <w:jc w:val="both"/>
        <w:rPr>
          <w:rFonts w:ascii="宋体" w:hAnsi="宋体"/>
        </w:rPr>
      </w:pPr>
      <w:r>
        <w:rPr>
          <w:rFonts w:hint="eastAsia" w:ascii="宋体" w:hAnsi="宋体"/>
        </w:rPr>
        <w:t>过放电保护</w:t>
      </w:r>
    </w:p>
    <w:p>
      <w:pPr>
        <w:spacing w:line="360" w:lineRule="auto"/>
        <w:ind w:firstLine="420" w:firstLineChars="200"/>
        <w:jc w:val="both"/>
        <w:rPr>
          <w:rFonts w:ascii="宋体" w:hAnsi="宋体"/>
          <w:szCs w:val="21"/>
        </w:rPr>
      </w:pPr>
      <w:r>
        <w:rPr>
          <w:rFonts w:ascii="宋体" w:hAnsi="宋体"/>
          <w:szCs w:val="21"/>
        </w:rPr>
        <w:t>过</w:t>
      </w:r>
      <w:r>
        <w:rPr>
          <w:rFonts w:hint="eastAsia" w:ascii="宋体" w:hAnsi="宋体"/>
          <w:szCs w:val="21"/>
        </w:rPr>
        <w:t>放</w:t>
      </w:r>
      <w:r>
        <w:rPr>
          <w:rFonts w:ascii="宋体" w:hAnsi="宋体"/>
          <w:szCs w:val="21"/>
        </w:rPr>
        <w:t>电保护为验证动力电池过</w:t>
      </w:r>
      <w:r>
        <w:rPr>
          <w:rFonts w:hint="eastAsia" w:ascii="宋体" w:hAnsi="宋体"/>
          <w:szCs w:val="21"/>
        </w:rPr>
        <w:t>放</w:t>
      </w:r>
      <w:r>
        <w:rPr>
          <w:rFonts w:ascii="宋体" w:hAnsi="宋体"/>
          <w:szCs w:val="21"/>
        </w:rPr>
        <w:t>电的场景下，电池包保护功能是否起作用。测试方法对比情况如表3</w:t>
      </w:r>
      <w:r>
        <w:rPr>
          <w:rFonts w:hint="eastAsia" w:ascii="宋体" w:hAnsi="宋体"/>
          <w:szCs w:val="21"/>
          <w:lang w:val="en-US" w:eastAsia="zh-CN"/>
        </w:rPr>
        <w:t>3</w:t>
      </w:r>
      <w:r>
        <w:rPr>
          <w:rFonts w:ascii="宋体" w:hAnsi="宋体"/>
          <w:szCs w:val="21"/>
        </w:rPr>
        <w:t>所示</w:t>
      </w:r>
      <w:r>
        <w:rPr>
          <w:rFonts w:hint="eastAsia" w:ascii="宋体" w:hAnsi="宋体"/>
          <w:szCs w:val="21"/>
        </w:rPr>
        <w:t>：</w:t>
      </w:r>
    </w:p>
    <w:p>
      <w:pPr>
        <w:spacing w:line="360" w:lineRule="auto"/>
        <w:ind w:firstLine="400"/>
        <w:jc w:val="center"/>
        <w:rPr>
          <w:sz w:val="20"/>
        </w:rPr>
      </w:pPr>
      <w:r>
        <w:rPr>
          <w:sz w:val="20"/>
        </w:rPr>
        <w:t>表33</w:t>
      </w:r>
      <w:r>
        <w:rPr>
          <w:rFonts w:hint="eastAsia"/>
          <w:sz w:val="20"/>
        </w:rPr>
        <w:t>：电池包或系统</w:t>
      </w:r>
      <w:r>
        <w:rPr>
          <w:sz w:val="20"/>
        </w:rPr>
        <w:t>过放电保护测试对比</w:t>
      </w:r>
    </w:p>
    <w:tbl>
      <w:tblPr>
        <w:tblStyle w:val="9"/>
        <w:tblpPr w:leftFromText="180" w:rightFromText="180" w:vertAnchor="text" w:horzAnchor="margin" w:tblpXSpec="center" w:tblpY="304"/>
        <w:tblW w:w="83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7"/>
        <w:gridCol w:w="2372"/>
        <w:gridCol w:w="2268"/>
        <w:gridCol w:w="1262"/>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167" w:type="dxa"/>
            <w:shd w:val="clear" w:color="auto" w:fill="auto"/>
            <w:vAlign w:val="center"/>
          </w:tcPr>
          <w:p>
            <w:pPr>
              <w:spacing w:line="276" w:lineRule="auto"/>
              <w:jc w:val="center"/>
              <w:rPr>
                <w:sz w:val="20"/>
                <w:szCs w:val="20"/>
              </w:rPr>
            </w:pPr>
            <w:r>
              <w:rPr>
                <w:rFonts w:hint="eastAsia"/>
                <w:sz w:val="20"/>
                <w:szCs w:val="20"/>
              </w:rPr>
              <w:t>标准</w:t>
            </w:r>
          </w:p>
        </w:tc>
        <w:tc>
          <w:tcPr>
            <w:tcW w:w="2372" w:type="dxa"/>
            <w:shd w:val="clear" w:color="auto" w:fill="auto"/>
            <w:vAlign w:val="center"/>
          </w:tcPr>
          <w:p>
            <w:pPr>
              <w:spacing w:line="276" w:lineRule="auto"/>
              <w:jc w:val="center"/>
              <w:rPr>
                <w:sz w:val="20"/>
                <w:szCs w:val="20"/>
              </w:rPr>
            </w:pPr>
            <w:r>
              <w:rPr>
                <w:sz w:val="20"/>
                <w:szCs w:val="20"/>
              </w:rPr>
              <w:t>GB 38031-2020</w:t>
            </w:r>
          </w:p>
        </w:tc>
        <w:tc>
          <w:tcPr>
            <w:tcW w:w="2268" w:type="dxa"/>
            <w:shd w:val="clear" w:color="auto" w:fill="auto"/>
            <w:vAlign w:val="center"/>
          </w:tcPr>
          <w:p>
            <w:pPr>
              <w:spacing w:line="276" w:lineRule="auto"/>
              <w:jc w:val="center"/>
              <w:rPr>
                <w:sz w:val="20"/>
                <w:szCs w:val="20"/>
              </w:rPr>
            </w:pPr>
            <w:r>
              <w:rPr>
                <w:sz w:val="20"/>
                <w:szCs w:val="20"/>
              </w:rPr>
              <w:t>ISO 6469-1:2019</w:t>
            </w:r>
          </w:p>
        </w:tc>
        <w:tc>
          <w:tcPr>
            <w:tcW w:w="1262" w:type="dxa"/>
            <w:shd w:val="clear" w:color="auto" w:fill="auto"/>
            <w:vAlign w:val="center"/>
          </w:tcPr>
          <w:p>
            <w:pPr>
              <w:spacing w:line="276" w:lineRule="auto"/>
              <w:jc w:val="center"/>
              <w:rPr>
                <w:sz w:val="20"/>
                <w:szCs w:val="20"/>
              </w:rPr>
            </w:pPr>
            <w:r>
              <w:rPr>
                <w:sz w:val="20"/>
                <w:szCs w:val="20"/>
              </w:rPr>
              <w:t>EVS-GTR</w:t>
            </w:r>
          </w:p>
        </w:tc>
        <w:tc>
          <w:tcPr>
            <w:tcW w:w="1263" w:type="dxa"/>
            <w:shd w:val="clear" w:color="auto" w:fill="auto"/>
            <w:vAlign w:val="center"/>
          </w:tcPr>
          <w:p>
            <w:pPr>
              <w:spacing w:line="276" w:lineRule="auto"/>
              <w:jc w:val="center"/>
              <w:rPr>
                <w:sz w:val="20"/>
                <w:szCs w:val="20"/>
              </w:rPr>
            </w:pPr>
            <w:r>
              <w:rPr>
                <w:sz w:val="20"/>
                <w:szCs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167" w:type="dxa"/>
            <w:shd w:val="clear" w:color="auto" w:fill="auto"/>
            <w:vAlign w:val="center"/>
          </w:tcPr>
          <w:p>
            <w:pPr>
              <w:widowControl w:val="0"/>
              <w:spacing w:line="276" w:lineRule="auto"/>
              <w:jc w:val="center"/>
              <w:rPr>
                <w:sz w:val="20"/>
                <w:szCs w:val="20"/>
              </w:rPr>
            </w:pPr>
            <w:r>
              <w:rPr>
                <w:sz w:val="20"/>
                <w:szCs w:val="20"/>
              </w:rPr>
              <w:t>试验对象</w:t>
            </w:r>
          </w:p>
        </w:tc>
        <w:tc>
          <w:tcPr>
            <w:tcW w:w="2372" w:type="dxa"/>
            <w:shd w:val="clear" w:color="auto" w:fill="auto"/>
            <w:vAlign w:val="center"/>
          </w:tcPr>
          <w:p>
            <w:pPr>
              <w:widowControl w:val="0"/>
              <w:spacing w:line="276" w:lineRule="auto"/>
              <w:jc w:val="both"/>
              <w:rPr>
                <w:sz w:val="20"/>
                <w:szCs w:val="20"/>
              </w:rPr>
            </w:pPr>
            <w:r>
              <w:rPr>
                <w:sz w:val="20"/>
                <w:szCs w:val="20"/>
              </w:rPr>
              <w:t>电池系统</w:t>
            </w:r>
          </w:p>
        </w:tc>
        <w:tc>
          <w:tcPr>
            <w:tcW w:w="2268" w:type="dxa"/>
            <w:shd w:val="clear" w:color="auto" w:fill="auto"/>
            <w:vAlign w:val="center"/>
          </w:tcPr>
          <w:p>
            <w:pPr>
              <w:widowControl w:val="0"/>
              <w:spacing w:line="276" w:lineRule="auto"/>
              <w:ind w:right="-105" w:rightChars="-50"/>
              <w:jc w:val="both"/>
              <w:rPr>
                <w:sz w:val="20"/>
                <w:szCs w:val="20"/>
              </w:rPr>
            </w:pPr>
            <w:r>
              <w:rPr>
                <w:sz w:val="20"/>
                <w:szCs w:val="20"/>
              </w:rPr>
              <w:t>电池系统</w:t>
            </w:r>
          </w:p>
        </w:tc>
        <w:tc>
          <w:tcPr>
            <w:tcW w:w="2525" w:type="dxa"/>
            <w:gridSpan w:val="2"/>
            <w:shd w:val="clear" w:color="auto" w:fill="auto"/>
            <w:vAlign w:val="center"/>
          </w:tcPr>
          <w:p>
            <w:pPr>
              <w:widowControl w:val="0"/>
              <w:spacing w:line="276" w:lineRule="auto"/>
              <w:jc w:val="both"/>
              <w:rPr>
                <w:sz w:val="20"/>
                <w:szCs w:val="20"/>
              </w:rPr>
            </w:pPr>
            <w:r>
              <w:rPr>
                <w:sz w:val="20"/>
                <w:szCs w:val="20"/>
              </w:rPr>
              <w:t>电池系统、整车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1167" w:type="dxa"/>
            <w:shd w:val="clear" w:color="auto" w:fill="auto"/>
            <w:vAlign w:val="center"/>
          </w:tcPr>
          <w:p>
            <w:pPr>
              <w:spacing w:line="276" w:lineRule="auto"/>
              <w:jc w:val="center"/>
              <w:rPr>
                <w:sz w:val="20"/>
                <w:szCs w:val="20"/>
              </w:rPr>
            </w:pPr>
            <w:r>
              <w:rPr>
                <w:sz w:val="20"/>
                <w:szCs w:val="20"/>
              </w:rPr>
              <w:t>SOC状态要求</w:t>
            </w:r>
          </w:p>
        </w:tc>
        <w:tc>
          <w:tcPr>
            <w:tcW w:w="2372" w:type="dxa"/>
            <w:shd w:val="clear" w:color="auto" w:fill="auto"/>
            <w:vAlign w:val="center"/>
          </w:tcPr>
          <w:p>
            <w:pPr>
              <w:spacing w:line="276" w:lineRule="auto"/>
              <w:jc w:val="both"/>
              <w:rPr>
                <w:sz w:val="20"/>
                <w:szCs w:val="20"/>
              </w:rPr>
            </w:pPr>
            <w:r>
              <w:rPr>
                <w:rFonts w:hint="eastAsia"/>
                <w:sz w:val="20"/>
                <w:szCs w:val="20"/>
              </w:rPr>
              <w:t>电</w:t>
            </w:r>
            <w:r>
              <w:rPr>
                <w:sz w:val="20"/>
                <w:szCs w:val="20"/>
              </w:rPr>
              <w:t>池SOC调整到较低水平，但应在正常的工作范围内，只要能够正常运行，可不需要精确的调整。</w:t>
            </w:r>
          </w:p>
        </w:tc>
        <w:tc>
          <w:tcPr>
            <w:tcW w:w="2268" w:type="dxa"/>
            <w:shd w:val="clear" w:color="auto" w:fill="auto"/>
            <w:vAlign w:val="center"/>
          </w:tcPr>
          <w:p>
            <w:pPr>
              <w:spacing w:line="276" w:lineRule="auto"/>
              <w:jc w:val="both"/>
              <w:rPr>
                <w:rFonts w:hint="eastAsia" w:eastAsia="宋体"/>
                <w:sz w:val="20"/>
                <w:szCs w:val="20"/>
                <w:lang w:val="en-US" w:eastAsia="zh-CN"/>
              </w:rPr>
            </w:pPr>
            <w:r>
              <w:rPr>
                <w:sz w:val="20"/>
                <w:szCs w:val="20"/>
              </w:rPr>
              <w:t>正常工作水平</w:t>
            </w:r>
            <w:r>
              <w:rPr>
                <w:rFonts w:hint="eastAsia"/>
                <w:sz w:val="20"/>
                <w:szCs w:val="20"/>
                <w:lang w:val="en-US" w:eastAsia="zh-CN"/>
              </w:rPr>
              <w:t>.</w:t>
            </w:r>
          </w:p>
        </w:tc>
        <w:tc>
          <w:tcPr>
            <w:tcW w:w="2525" w:type="dxa"/>
            <w:gridSpan w:val="2"/>
            <w:shd w:val="clear" w:color="auto" w:fill="auto"/>
            <w:vAlign w:val="center"/>
          </w:tcPr>
          <w:p>
            <w:pPr>
              <w:spacing w:line="276" w:lineRule="auto"/>
              <w:jc w:val="both"/>
              <w:rPr>
                <w:sz w:val="20"/>
                <w:szCs w:val="20"/>
              </w:rPr>
            </w:pPr>
            <w:r>
              <w:rPr>
                <w:rFonts w:hint="eastAsia"/>
                <w:sz w:val="20"/>
                <w:szCs w:val="20"/>
              </w:rPr>
              <w:t>电</w:t>
            </w:r>
            <w:r>
              <w:rPr>
                <w:sz w:val="20"/>
                <w:szCs w:val="20"/>
              </w:rPr>
              <w:t>池SOC调整到较低水平，但应在正常的工作范围内，只要能够正常运行，可不需要精确的调整。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67" w:type="dxa"/>
            <w:shd w:val="clear" w:color="auto" w:fill="auto"/>
            <w:vAlign w:val="center"/>
          </w:tcPr>
          <w:p>
            <w:pPr>
              <w:spacing w:line="276" w:lineRule="auto"/>
              <w:jc w:val="center"/>
              <w:rPr>
                <w:sz w:val="20"/>
                <w:szCs w:val="20"/>
              </w:rPr>
            </w:pPr>
            <w:r>
              <w:rPr>
                <w:sz w:val="20"/>
                <w:szCs w:val="20"/>
              </w:rPr>
              <w:t>试验温度</w:t>
            </w:r>
          </w:p>
        </w:tc>
        <w:tc>
          <w:tcPr>
            <w:tcW w:w="2372" w:type="dxa"/>
            <w:shd w:val="clear" w:color="auto" w:fill="auto"/>
            <w:vAlign w:val="center"/>
          </w:tcPr>
          <w:p>
            <w:pPr>
              <w:spacing w:line="276" w:lineRule="auto"/>
              <w:jc w:val="both"/>
              <w:rPr>
                <w:sz w:val="20"/>
                <w:szCs w:val="20"/>
              </w:rPr>
            </w:pPr>
            <w:r>
              <w:rPr>
                <w:sz w:val="20"/>
                <w:szCs w:val="20"/>
              </w:rPr>
              <w:t>20 ℃±10 ℃或更高温度</w:t>
            </w:r>
          </w:p>
        </w:tc>
        <w:tc>
          <w:tcPr>
            <w:tcW w:w="2268" w:type="dxa"/>
            <w:shd w:val="clear" w:color="auto" w:fill="auto"/>
            <w:vAlign w:val="center"/>
          </w:tcPr>
          <w:p>
            <w:pPr>
              <w:spacing w:line="276" w:lineRule="auto"/>
              <w:jc w:val="both"/>
              <w:rPr>
                <w:sz w:val="20"/>
                <w:szCs w:val="20"/>
              </w:rPr>
            </w:pPr>
            <w:r>
              <w:rPr>
                <w:sz w:val="20"/>
                <w:szCs w:val="20"/>
              </w:rPr>
              <w:t>20 ℃±10 ℃</w:t>
            </w:r>
          </w:p>
        </w:tc>
        <w:tc>
          <w:tcPr>
            <w:tcW w:w="2525" w:type="dxa"/>
            <w:gridSpan w:val="2"/>
            <w:shd w:val="clear" w:color="auto" w:fill="auto"/>
            <w:vAlign w:val="center"/>
          </w:tcPr>
          <w:p>
            <w:pPr>
              <w:spacing w:line="276" w:lineRule="auto"/>
              <w:jc w:val="both"/>
              <w:rPr>
                <w:sz w:val="20"/>
                <w:szCs w:val="20"/>
              </w:rPr>
            </w:pPr>
            <w:r>
              <w:rPr>
                <w:sz w:val="20"/>
                <w:szCs w:val="20"/>
              </w:rPr>
              <w:t>20 ℃±10 ℃或更高温度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1167" w:type="dxa"/>
            <w:shd w:val="clear" w:color="auto" w:fill="auto"/>
            <w:vAlign w:val="center"/>
          </w:tcPr>
          <w:p>
            <w:pPr>
              <w:spacing w:line="276" w:lineRule="auto"/>
              <w:jc w:val="center"/>
              <w:rPr>
                <w:sz w:val="20"/>
                <w:szCs w:val="20"/>
              </w:rPr>
            </w:pPr>
            <w:r>
              <w:rPr>
                <w:sz w:val="20"/>
                <w:szCs w:val="20"/>
              </w:rPr>
              <w:t>试验前</w:t>
            </w:r>
          </w:p>
        </w:tc>
        <w:tc>
          <w:tcPr>
            <w:tcW w:w="2372" w:type="dxa"/>
            <w:shd w:val="clear" w:color="auto" w:fill="auto"/>
            <w:vAlign w:val="center"/>
          </w:tcPr>
          <w:p>
            <w:pPr>
              <w:spacing w:line="276" w:lineRule="auto"/>
              <w:jc w:val="both"/>
              <w:rPr>
                <w:sz w:val="20"/>
                <w:szCs w:val="20"/>
              </w:rPr>
            </w:pPr>
            <w:r>
              <w:rPr>
                <w:sz w:val="20"/>
                <w:szCs w:val="20"/>
              </w:rPr>
              <w:t>保护设备正常运行。主要接触器应闭合。</w:t>
            </w:r>
          </w:p>
        </w:tc>
        <w:tc>
          <w:tcPr>
            <w:tcW w:w="2268" w:type="dxa"/>
            <w:shd w:val="clear" w:color="auto" w:fill="auto"/>
            <w:vAlign w:val="center"/>
          </w:tcPr>
          <w:p>
            <w:pPr>
              <w:spacing w:line="276" w:lineRule="auto"/>
              <w:jc w:val="both"/>
              <w:rPr>
                <w:sz w:val="20"/>
                <w:szCs w:val="20"/>
              </w:rPr>
            </w:pPr>
            <w:r>
              <w:rPr>
                <w:sz w:val="20"/>
                <w:szCs w:val="20"/>
              </w:rPr>
              <w:t>冷却系统工作，主接触器关闭。相关功能处在工作状态。</w:t>
            </w:r>
          </w:p>
        </w:tc>
        <w:tc>
          <w:tcPr>
            <w:tcW w:w="2525" w:type="dxa"/>
            <w:gridSpan w:val="2"/>
            <w:shd w:val="clear" w:color="auto" w:fill="auto"/>
            <w:vAlign w:val="center"/>
          </w:tcPr>
          <w:p>
            <w:pPr>
              <w:spacing w:line="276" w:lineRule="auto"/>
              <w:jc w:val="both"/>
              <w:rPr>
                <w:sz w:val="20"/>
                <w:szCs w:val="20"/>
              </w:rPr>
            </w:pPr>
            <w:r>
              <w:rPr>
                <w:sz w:val="20"/>
                <w:szCs w:val="20"/>
              </w:rPr>
              <w:t>所有影响被测试设备功能和与试验结果有关的保护装置都应处于可操作状态。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67" w:type="dxa"/>
            <w:shd w:val="clear" w:color="auto" w:fill="auto"/>
            <w:vAlign w:val="center"/>
          </w:tcPr>
          <w:p>
            <w:pPr>
              <w:spacing w:line="276" w:lineRule="auto"/>
              <w:jc w:val="center"/>
              <w:rPr>
                <w:sz w:val="20"/>
                <w:szCs w:val="20"/>
              </w:rPr>
            </w:pPr>
            <w:r>
              <w:rPr>
                <w:sz w:val="20"/>
                <w:szCs w:val="20"/>
              </w:rPr>
              <w:t>试验中</w:t>
            </w:r>
          </w:p>
        </w:tc>
        <w:tc>
          <w:tcPr>
            <w:tcW w:w="2372" w:type="dxa"/>
            <w:shd w:val="clear" w:color="auto" w:fill="auto"/>
            <w:vAlign w:val="center"/>
          </w:tcPr>
          <w:p>
            <w:pPr>
              <w:spacing w:line="276" w:lineRule="auto"/>
              <w:jc w:val="both"/>
              <w:rPr>
                <w:sz w:val="20"/>
                <w:szCs w:val="20"/>
              </w:rPr>
            </w:pPr>
            <w:r>
              <w:rPr>
                <w:sz w:val="20"/>
                <w:szCs w:val="20"/>
              </w:rPr>
              <w:t>在正常工作范围内以稳定电流进行放电。</w:t>
            </w:r>
          </w:p>
        </w:tc>
        <w:tc>
          <w:tcPr>
            <w:tcW w:w="2268" w:type="dxa"/>
            <w:shd w:val="clear" w:color="auto" w:fill="auto"/>
            <w:vAlign w:val="center"/>
          </w:tcPr>
          <w:p>
            <w:pPr>
              <w:spacing w:line="276" w:lineRule="auto"/>
              <w:jc w:val="both"/>
              <w:rPr>
                <w:sz w:val="20"/>
                <w:szCs w:val="20"/>
              </w:rPr>
            </w:pPr>
            <w:r>
              <w:rPr>
                <w:sz w:val="20"/>
                <w:szCs w:val="20"/>
              </w:rPr>
              <w:t>在正常工作范围内以稳定电流进行放电。</w:t>
            </w:r>
          </w:p>
        </w:tc>
        <w:tc>
          <w:tcPr>
            <w:tcW w:w="2525" w:type="dxa"/>
            <w:gridSpan w:val="2"/>
            <w:shd w:val="clear" w:color="auto" w:fill="auto"/>
            <w:vAlign w:val="center"/>
          </w:tcPr>
          <w:p>
            <w:pPr>
              <w:spacing w:line="276" w:lineRule="auto"/>
              <w:jc w:val="both"/>
              <w:rPr>
                <w:sz w:val="20"/>
                <w:szCs w:val="20"/>
              </w:rPr>
            </w:pPr>
            <w:r>
              <w:rPr>
                <w:sz w:val="20"/>
                <w:szCs w:val="20"/>
              </w:rPr>
              <w:t>在正常工作范围内以稳定电流进行放电。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37" w:hRule="atLeast"/>
        </w:trPr>
        <w:tc>
          <w:tcPr>
            <w:tcW w:w="1167" w:type="dxa"/>
            <w:shd w:val="clear" w:color="auto" w:fill="auto"/>
            <w:vAlign w:val="center"/>
          </w:tcPr>
          <w:p>
            <w:pPr>
              <w:spacing w:line="276" w:lineRule="auto"/>
              <w:jc w:val="center"/>
              <w:rPr>
                <w:sz w:val="20"/>
                <w:szCs w:val="20"/>
              </w:rPr>
            </w:pPr>
            <w:r>
              <w:rPr>
                <w:sz w:val="20"/>
                <w:szCs w:val="20"/>
              </w:rPr>
              <w:t>截止条件</w:t>
            </w:r>
          </w:p>
        </w:tc>
        <w:tc>
          <w:tcPr>
            <w:tcW w:w="2372" w:type="dxa"/>
            <w:shd w:val="clear" w:color="auto" w:fill="auto"/>
            <w:vAlign w:val="center"/>
          </w:tcPr>
          <w:p>
            <w:pPr>
              <w:spacing w:line="276" w:lineRule="auto"/>
              <w:jc w:val="both"/>
              <w:rPr>
                <w:sz w:val="20"/>
                <w:szCs w:val="20"/>
              </w:rPr>
            </w:pPr>
            <w:r>
              <w:rPr>
                <w:sz w:val="20"/>
                <w:szCs w:val="20"/>
              </w:rPr>
              <w:t>终止放电电流发出终止放电电流的信号</w:t>
            </w:r>
            <w:r>
              <w:rPr>
                <w:rFonts w:hint="eastAsia"/>
                <w:sz w:val="20"/>
                <w:szCs w:val="20"/>
              </w:rPr>
              <w:t>；</w:t>
            </w:r>
          </w:p>
          <w:p>
            <w:pPr>
              <w:spacing w:line="276" w:lineRule="auto"/>
              <w:jc w:val="both"/>
              <w:rPr>
                <w:sz w:val="20"/>
                <w:szCs w:val="20"/>
              </w:rPr>
            </w:pPr>
            <w:r>
              <w:rPr>
                <w:sz w:val="20"/>
                <w:szCs w:val="20"/>
              </w:rPr>
              <w:t>当试验对象的过自动中断功能未起作用，或者如果没有8.2.14.4 中a）所述的功能。继续放电，使得试验对象放电到其额定电压的25%为止</w:t>
            </w:r>
            <w:r>
              <w:rPr>
                <w:rFonts w:hint="eastAsia"/>
                <w:sz w:val="20"/>
                <w:szCs w:val="20"/>
              </w:rPr>
              <w:t>；</w:t>
            </w:r>
          </w:p>
          <w:p>
            <w:pPr>
              <w:spacing w:line="276" w:lineRule="auto"/>
              <w:jc w:val="both"/>
              <w:rPr>
                <w:rFonts w:hint="eastAsia" w:eastAsia="宋体"/>
                <w:sz w:val="20"/>
                <w:szCs w:val="20"/>
                <w:lang w:eastAsia="zh-CN"/>
              </w:rPr>
            </w:pPr>
            <w:r>
              <w:rPr>
                <w:sz w:val="20"/>
                <w:szCs w:val="20"/>
              </w:rPr>
              <w:t>温度变化在2 h内小于4 ℃</w:t>
            </w:r>
            <w:r>
              <w:rPr>
                <w:rFonts w:hint="eastAsia"/>
                <w:sz w:val="20"/>
                <w:szCs w:val="20"/>
                <w:lang w:eastAsia="zh-CN"/>
              </w:rPr>
              <w:t>。</w:t>
            </w:r>
          </w:p>
        </w:tc>
        <w:tc>
          <w:tcPr>
            <w:tcW w:w="2268" w:type="dxa"/>
            <w:shd w:val="clear" w:color="auto" w:fill="auto"/>
            <w:vAlign w:val="center"/>
          </w:tcPr>
          <w:p>
            <w:pPr>
              <w:spacing w:line="276" w:lineRule="auto"/>
              <w:jc w:val="both"/>
              <w:rPr>
                <w:sz w:val="20"/>
                <w:szCs w:val="20"/>
              </w:rPr>
            </w:pPr>
            <w:r>
              <w:rPr>
                <w:sz w:val="20"/>
                <w:szCs w:val="20"/>
              </w:rPr>
              <w:t>中断放电电流</w:t>
            </w:r>
            <w:r>
              <w:rPr>
                <w:rFonts w:hint="eastAsia"/>
                <w:sz w:val="20"/>
                <w:szCs w:val="20"/>
              </w:rPr>
              <w:t>；</w:t>
            </w:r>
          </w:p>
          <w:p>
            <w:pPr>
              <w:spacing w:line="276" w:lineRule="auto"/>
              <w:jc w:val="both"/>
              <w:rPr>
                <w:sz w:val="20"/>
                <w:szCs w:val="20"/>
              </w:rPr>
            </w:pPr>
            <w:r>
              <w:rPr>
                <w:sz w:val="20"/>
                <w:szCs w:val="20"/>
              </w:rPr>
              <w:t>放电持续至电压达到0V</w:t>
            </w:r>
            <w:r>
              <w:rPr>
                <w:rFonts w:hint="eastAsia"/>
                <w:sz w:val="20"/>
                <w:szCs w:val="20"/>
              </w:rPr>
              <w:t>；</w:t>
            </w:r>
          </w:p>
          <w:p>
            <w:pPr>
              <w:spacing w:line="276" w:lineRule="auto"/>
              <w:jc w:val="both"/>
              <w:rPr>
                <w:sz w:val="20"/>
                <w:szCs w:val="20"/>
              </w:rPr>
            </w:pPr>
            <w:r>
              <w:rPr>
                <w:sz w:val="20"/>
                <w:szCs w:val="20"/>
              </w:rPr>
              <w:t>SOC或电压降至下限以下或最高RESS温度超过客户和供应商议定的上限。则试验失败。</w:t>
            </w:r>
          </w:p>
        </w:tc>
        <w:tc>
          <w:tcPr>
            <w:tcW w:w="2525" w:type="dxa"/>
            <w:gridSpan w:val="2"/>
            <w:shd w:val="clear" w:color="auto" w:fill="auto"/>
            <w:vAlign w:val="center"/>
          </w:tcPr>
          <w:p>
            <w:pPr>
              <w:spacing w:line="276" w:lineRule="auto"/>
              <w:jc w:val="both"/>
              <w:rPr>
                <w:sz w:val="20"/>
                <w:szCs w:val="20"/>
              </w:rPr>
            </w:pPr>
            <w:r>
              <w:rPr>
                <w:sz w:val="20"/>
                <w:szCs w:val="20"/>
              </w:rPr>
              <w:t>终止放电电流</w:t>
            </w:r>
            <w:r>
              <w:rPr>
                <w:rFonts w:hint="eastAsia"/>
                <w:sz w:val="20"/>
                <w:szCs w:val="20"/>
              </w:rPr>
              <w:t>；</w:t>
            </w:r>
          </w:p>
          <w:p>
            <w:pPr>
              <w:spacing w:line="276" w:lineRule="auto"/>
              <w:jc w:val="both"/>
              <w:rPr>
                <w:sz w:val="20"/>
                <w:szCs w:val="20"/>
              </w:rPr>
            </w:pPr>
            <w:r>
              <w:rPr>
                <w:sz w:val="20"/>
                <w:szCs w:val="20"/>
              </w:rPr>
              <w:t>温度变化在2 h内小于4 ℃</w:t>
            </w:r>
            <w:r>
              <w:rPr>
                <w:rFonts w:hint="eastAsia"/>
                <w:sz w:val="20"/>
                <w:szCs w:val="20"/>
              </w:rPr>
              <w:t>；</w:t>
            </w:r>
          </w:p>
          <w:p>
            <w:pPr>
              <w:spacing w:line="276" w:lineRule="auto"/>
              <w:jc w:val="both"/>
              <w:rPr>
                <w:rFonts w:hint="eastAsia" w:eastAsia="宋体"/>
                <w:sz w:val="20"/>
                <w:szCs w:val="20"/>
                <w:lang w:eastAsia="zh-CN"/>
              </w:rPr>
            </w:pPr>
            <w:r>
              <w:rPr>
                <w:sz w:val="20"/>
                <w:szCs w:val="20"/>
              </w:rPr>
              <w:t>如果没有过放电保护措施，须放电至标称电压的25%</w:t>
            </w:r>
            <w:r>
              <w:rPr>
                <w:rFonts w:hint="eastAsia"/>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67" w:type="dxa"/>
            <w:shd w:val="clear" w:color="auto" w:fill="auto"/>
            <w:vAlign w:val="center"/>
          </w:tcPr>
          <w:p>
            <w:pPr>
              <w:spacing w:line="276" w:lineRule="auto"/>
              <w:jc w:val="center"/>
              <w:rPr>
                <w:sz w:val="20"/>
                <w:szCs w:val="20"/>
              </w:rPr>
            </w:pPr>
            <w:r>
              <w:rPr>
                <w:sz w:val="20"/>
                <w:szCs w:val="20"/>
              </w:rPr>
              <w:t>试验后</w:t>
            </w:r>
          </w:p>
        </w:tc>
        <w:tc>
          <w:tcPr>
            <w:tcW w:w="2372" w:type="dxa"/>
            <w:shd w:val="clear" w:color="auto" w:fill="auto"/>
            <w:vAlign w:val="center"/>
          </w:tcPr>
          <w:p>
            <w:pPr>
              <w:spacing w:line="276" w:lineRule="auto"/>
              <w:jc w:val="both"/>
              <w:rPr>
                <w:sz w:val="20"/>
                <w:szCs w:val="20"/>
              </w:rPr>
            </w:pPr>
            <w:r>
              <w:rPr>
                <w:sz w:val="20"/>
                <w:szCs w:val="20"/>
              </w:rPr>
              <w:t>试验后观察1h。</w:t>
            </w:r>
          </w:p>
        </w:tc>
        <w:tc>
          <w:tcPr>
            <w:tcW w:w="2268" w:type="dxa"/>
            <w:shd w:val="clear" w:color="auto" w:fill="auto"/>
            <w:vAlign w:val="center"/>
          </w:tcPr>
          <w:p>
            <w:pPr>
              <w:spacing w:line="276" w:lineRule="auto"/>
              <w:jc w:val="both"/>
              <w:rPr>
                <w:sz w:val="20"/>
                <w:szCs w:val="20"/>
              </w:rPr>
            </w:pPr>
            <w:r>
              <w:rPr>
                <w:sz w:val="20"/>
                <w:szCs w:val="20"/>
              </w:rPr>
              <w:t>/</w:t>
            </w:r>
          </w:p>
        </w:tc>
        <w:tc>
          <w:tcPr>
            <w:tcW w:w="2525" w:type="dxa"/>
            <w:gridSpan w:val="2"/>
            <w:shd w:val="clear" w:color="auto" w:fill="auto"/>
            <w:vAlign w:val="center"/>
          </w:tcPr>
          <w:p>
            <w:pPr>
              <w:spacing w:line="276" w:lineRule="auto"/>
              <w:jc w:val="both"/>
              <w:rPr>
                <w:sz w:val="20"/>
                <w:szCs w:val="20"/>
              </w:rPr>
            </w:pPr>
            <w:r>
              <w:rPr>
                <w:sz w:val="20"/>
                <w:szCs w:val="20"/>
              </w:rPr>
              <w:t>如果REESS允许，应立即使进行标准循环。观察1h。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trPr>
        <w:tc>
          <w:tcPr>
            <w:tcW w:w="1167" w:type="dxa"/>
            <w:shd w:val="clear" w:color="auto" w:fill="auto"/>
            <w:vAlign w:val="center"/>
          </w:tcPr>
          <w:p>
            <w:pPr>
              <w:spacing w:line="276" w:lineRule="auto"/>
              <w:jc w:val="center"/>
              <w:rPr>
                <w:sz w:val="20"/>
                <w:szCs w:val="20"/>
              </w:rPr>
            </w:pPr>
            <w:r>
              <w:rPr>
                <w:rFonts w:hint="eastAsia"/>
                <w:sz w:val="20"/>
                <w:szCs w:val="20"/>
              </w:rPr>
              <w:t>判定条件</w:t>
            </w:r>
          </w:p>
        </w:tc>
        <w:tc>
          <w:tcPr>
            <w:tcW w:w="2372" w:type="dxa"/>
            <w:shd w:val="clear" w:color="auto" w:fill="auto"/>
            <w:vAlign w:val="center"/>
          </w:tcPr>
          <w:p>
            <w:pPr>
              <w:spacing w:line="276" w:lineRule="auto"/>
              <w:jc w:val="both"/>
              <w:textAlignment w:val="center"/>
              <w:rPr>
                <w:sz w:val="20"/>
                <w:szCs w:val="20"/>
              </w:rPr>
            </w:pPr>
            <w:r>
              <w:rPr>
                <w:sz w:val="20"/>
                <w:szCs w:val="20"/>
              </w:rPr>
              <w:t>无泄漏、破裂、起火或爆炸</w:t>
            </w:r>
          </w:p>
          <w:p>
            <w:pPr>
              <w:spacing w:line="276" w:lineRule="auto"/>
              <w:jc w:val="both"/>
              <w:rPr>
                <w:sz w:val="20"/>
                <w:szCs w:val="20"/>
              </w:rPr>
            </w:pPr>
            <w:r>
              <w:rPr>
                <w:rFonts w:hint="eastAsia"/>
                <w:sz w:val="20"/>
                <w:szCs w:val="20"/>
              </w:rPr>
              <w:t>绝缘阻抗</w:t>
            </w:r>
            <w:r>
              <w:rPr>
                <w:sz w:val="20"/>
                <w:szCs w:val="20"/>
              </w:rPr>
              <w:t>≥100 Ω/V</w:t>
            </w:r>
          </w:p>
        </w:tc>
        <w:tc>
          <w:tcPr>
            <w:tcW w:w="2268" w:type="dxa"/>
            <w:shd w:val="clear" w:color="auto" w:fill="auto"/>
            <w:vAlign w:val="center"/>
          </w:tcPr>
          <w:p>
            <w:pPr>
              <w:spacing w:line="276" w:lineRule="auto"/>
              <w:jc w:val="both"/>
              <w:rPr>
                <w:sz w:val="20"/>
                <w:szCs w:val="20"/>
              </w:rPr>
            </w:pPr>
            <w:r>
              <w:rPr>
                <w:sz w:val="20"/>
                <w:szCs w:val="20"/>
              </w:rPr>
              <w:t>无泄漏、破裂、起火或爆炸现象。试验后的绝缘电阻应符合原文4.2节要求</w:t>
            </w:r>
          </w:p>
        </w:tc>
        <w:tc>
          <w:tcPr>
            <w:tcW w:w="2525" w:type="dxa"/>
            <w:gridSpan w:val="2"/>
            <w:shd w:val="clear" w:color="auto" w:fill="auto"/>
            <w:vAlign w:val="center"/>
          </w:tcPr>
          <w:p>
            <w:pPr>
              <w:spacing w:line="276" w:lineRule="auto"/>
              <w:jc w:val="both"/>
              <w:rPr>
                <w:sz w:val="20"/>
                <w:szCs w:val="20"/>
              </w:rPr>
            </w:pPr>
            <w:r>
              <w:rPr>
                <w:sz w:val="20"/>
                <w:szCs w:val="20"/>
              </w:rPr>
              <w:t>无电解液泄漏、破裂、排气（开式电池除外）、起火或爆炸</w:t>
            </w:r>
            <w:r>
              <w:rPr>
                <w:rFonts w:hint="eastAsia"/>
                <w:sz w:val="20"/>
                <w:szCs w:val="20"/>
              </w:rPr>
              <w:t>；</w:t>
            </w:r>
          </w:p>
          <w:p>
            <w:pPr>
              <w:spacing w:line="276" w:lineRule="auto"/>
              <w:jc w:val="both"/>
              <w:rPr>
                <w:sz w:val="20"/>
                <w:szCs w:val="20"/>
              </w:rPr>
            </w:pPr>
            <w:r>
              <w:rPr>
                <w:rFonts w:hint="eastAsia"/>
                <w:sz w:val="20"/>
                <w:szCs w:val="20"/>
              </w:rPr>
              <w:t>绝缘阻抗</w:t>
            </w:r>
            <w:r>
              <w:rPr>
                <w:sz w:val="20"/>
                <w:szCs w:val="20"/>
              </w:rPr>
              <w:t>≥100 Ω/V</w:t>
            </w:r>
          </w:p>
        </w:tc>
      </w:tr>
    </w:tbl>
    <w:p>
      <w:pPr>
        <w:spacing w:line="360" w:lineRule="auto"/>
        <w:ind w:firstLine="420"/>
        <w:jc w:val="both"/>
        <w:rPr>
          <w:rFonts w:ascii="宋体" w:hAnsi="宋体"/>
          <w:szCs w:val="21"/>
        </w:rPr>
      </w:pPr>
      <w:r>
        <w:rPr>
          <w:szCs w:val="21"/>
        </w:rPr>
        <w:t>ISO 6469-1</w:t>
      </w:r>
      <w:r>
        <w:rPr>
          <w:rFonts w:ascii="宋体" w:hAnsi="宋体"/>
          <w:szCs w:val="21"/>
        </w:rPr>
        <w:t>，截止条件为放电持续至电压达到</w:t>
      </w:r>
      <w:r>
        <w:rPr>
          <w:szCs w:val="21"/>
        </w:rPr>
        <w:t>0V</w:t>
      </w:r>
      <w:r>
        <w:rPr>
          <w:rFonts w:ascii="宋体" w:hAnsi="宋体"/>
          <w:szCs w:val="21"/>
        </w:rPr>
        <w:t>，国家标准</w:t>
      </w:r>
      <w:r>
        <w:rPr>
          <w:szCs w:val="21"/>
        </w:rPr>
        <w:t>GB 38031、EVS-GTR和UN R100</w:t>
      </w:r>
      <w:r>
        <w:rPr>
          <w:rFonts w:ascii="宋体" w:hAnsi="宋体"/>
          <w:szCs w:val="21"/>
        </w:rPr>
        <w:t>，截止条件为放电到额定电压的</w:t>
      </w:r>
      <w:r>
        <w:rPr>
          <w:szCs w:val="21"/>
        </w:rPr>
        <w:t>25%</w:t>
      </w:r>
      <w:r>
        <w:rPr>
          <w:rFonts w:ascii="宋体" w:hAnsi="宋体"/>
          <w:szCs w:val="21"/>
        </w:rPr>
        <w:t>为止。针对过放电保护测试无明显影响。</w:t>
      </w:r>
      <w:r>
        <w:rPr>
          <w:rFonts w:hint="eastAsia" w:ascii="宋体" w:hAnsi="宋体"/>
          <w:szCs w:val="21"/>
        </w:rPr>
        <w:t>维持原标准不变。</w:t>
      </w:r>
    </w:p>
    <w:p>
      <w:pPr>
        <w:pStyle w:val="19"/>
        <w:numPr>
          <w:ilvl w:val="0"/>
          <w:numId w:val="10"/>
        </w:numPr>
        <w:spacing w:line="360" w:lineRule="auto"/>
        <w:ind w:left="0" w:firstLine="420" w:firstLineChars="200"/>
        <w:jc w:val="both"/>
        <w:rPr>
          <w:rFonts w:ascii="宋体" w:hAnsi="宋体"/>
          <w:szCs w:val="21"/>
        </w:rPr>
      </w:pPr>
      <w:r>
        <w:rPr>
          <w:rFonts w:hint="eastAsia" w:ascii="宋体" w:hAnsi="宋体"/>
          <w:szCs w:val="21"/>
        </w:rPr>
        <w:t>过电流保护：</w:t>
      </w:r>
      <w:r>
        <w:rPr>
          <w:rFonts w:ascii="宋体" w:hAnsi="宋体"/>
          <w:szCs w:val="21"/>
        </w:rPr>
        <w:t>过电流测试模拟了动力电池过电流场景。测试方法对比情况如表34</w:t>
      </w:r>
      <w:r>
        <w:rPr>
          <w:rFonts w:hint="default" w:ascii="Times New Roman" w:hAnsi="Times New Roman" w:cs="Times New Roman"/>
          <w:szCs w:val="21"/>
        </w:rPr>
        <w:t>所示。同上述保护类测试，补充对于绝缘电阻的要求：如果有交流电路，绝缘电阻需大于等于500Ω/ V；与GB 18384-2020达成一致。</w:t>
      </w:r>
    </w:p>
    <w:p>
      <w:pPr>
        <w:spacing w:line="360" w:lineRule="auto"/>
        <w:ind w:firstLine="400"/>
        <w:jc w:val="center"/>
        <w:rPr>
          <w:sz w:val="20"/>
        </w:rPr>
      </w:pPr>
      <w:r>
        <w:rPr>
          <w:sz w:val="20"/>
        </w:rPr>
        <w:t>表34</w:t>
      </w:r>
      <w:r>
        <w:rPr>
          <w:rFonts w:hint="eastAsia"/>
          <w:sz w:val="20"/>
        </w:rPr>
        <w:t>：电池包或系统</w:t>
      </w:r>
      <w:r>
        <w:rPr>
          <w:sz w:val="20"/>
        </w:rPr>
        <w:t>过电流保护测试对比</w:t>
      </w:r>
    </w:p>
    <w:tbl>
      <w:tblPr>
        <w:tblStyle w:val="9"/>
        <w:tblpPr w:leftFromText="180" w:rightFromText="180" w:vertAnchor="text" w:horzAnchor="margin" w:tblpY="540"/>
        <w:tblW w:w="8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1931"/>
        <w:gridCol w:w="2011"/>
        <w:gridCol w:w="1577"/>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156" w:type="dxa"/>
            <w:shd w:val="clear" w:color="auto" w:fill="auto"/>
            <w:vAlign w:val="center"/>
          </w:tcPr>
          <w:p>
            <w:pPr>
              <w:spacing w:line="276" w:lineRule="auto"/>
              <w:jc w:val="center"/>
              <w:rPr>
                <w:sz w:val="20"/>
                <w:szCs w:val="20"/>
              </w:rPr>
            </w:pPr>
            <w:r>
              <w:rPr>
                <w:rFonts w:hint="eastAsia"/>
                <w:sz w:val="20"/>
                <w:szCs w:val="20"/>
              </w:rPr>
              <w:t>标准</w:t>
            </w:r>
          </w:p>
        </w:tc>
        <w:tc>
          <w:tcPr>
            <w:tcW w:w="1931" w:type="dxa"/>
            <w:shd w:val="clear" w:color="auto" w:fill="auto"/>
            <w:vAlign w:val="center"/>
          </w:tcPr>
          <w:p>
            <w:pPr>
              <w:spacing w:line="276" w:lineRule="auto"/>
              <w:jc w:val="center"/>
              <w:rPr>
                <w:sz w:val="20"/>
                <w:szCs w:val="20"/>
              </w:rPr>
            </w:pPr>
            <w:r>
              <w:rPr>
                <w:szCs w:val="21"/>
              </w:rPr>
              <w:t>GB 38031</w:t>
            </w:r>
            <w:r>
              <w:rPr>
                <w:rFonts w:hint="eastAsia"/>
                <w:szCs w:val="21"/>
                <w:lang w:eastAsia="zh-CN"/>
              </w:rPr>
              <w:t>—</w:t>
            </w:r>
            <w:r>
              <w:rPr>
                <w:szCs w:val="21"/>
              </w:rPr>
              <w:t>202</w:t>
            </w:r>
            <w:r>
              <w:rPr>
                <w:rFonts w:hint="eastAsia"/>
                <w:szCs w:val="21"/>
                <w:lang w:val="en-US" w:eastAsia="zh-CN"/>
              </w:rPr>
              <w:t>0</w:t>
            </w:r>
          </w:p>
        </w:tc>
        <w:tc>
          <w:tcPr>
            <w:tcW w:w="2011" w:type="dxa"/>
            <w:shd w:val="clear" w:color="auto" w:fill="auto"/>
            <w:vAlign w:val="center"/>
          </w:tcPr>
          <w:p>
            <w:pPr>
              <w:spacing w:line="276" w:lineRule="auto"/>
              <w:jc w:val="center"/>
              <w:rPr>
                <w:sz w:val="20"/>
                <w:szCs w:val="20"/>
              </w:rPr>
            </w:pPr>
            <w:r>
              <w:rPr>
                <w:sz w:val="20"/>
                <w:szCs w:val="20"/>
              </w:rPr>
              <w:t>ISO 6469-1:2019</w:t>
            </w:r>
          </w:p>
        </w:tc>
        <w:tc>
          <w:tcPr>
            <w:tcW w:w="1577" w:type="dxa"/>
            <w:shd w:val="clear" w:color="auto" w:fill="auto"/>
            <w:vAlign w:val="center"/>
          </w:tcPr>
          <w:p>
            <w:pPr>
              <w:spacing w:line="276" w:lineRule="auto"/>
              <w:jc w:val="center"/>
              <w:rPr>
                <w:sz w:val="20"/>
                <w:szCs w:val="20"/>
              </w:rPr>
            </w:pPr>
            <w:r>
              <w:rPr>
                <w:sz w:val="20"/>
                <w:szCs w:val="20"/>
              </w:rPr>
              <w:t>EVS GTR</w:t>
            </w:r>
          </w:p>
        </w:tc>
        <w:tc>
          <w:tcPr>
            <w:tcW w:w="1619" w:type="dxa"/>
            <w:vAlign w:val="center"/>
          </w:tcPr>
          <w:p>
            <w:pPr>
              <w:spacing w:line="276" w:lineRule="auto"/>
              <w:jc w:val="center"/>
              <w:rPr>
                <w:sz w:val="20"/>
                <w:szCs w:val="20"/>
              </w:rPr>
            </w:pPr>
            <w:r>
              <w:rPr>
                <w:sz w:val="20"/>
                <w:szCs w:val="20"/>
              </w:rPr>
              <w:t>UN R100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56" w:type="dxa"/>
            <w:shd w:val="clear" w:color="auto" w:fill="auto"/>
            <w:vAlign w:val="center"/>
          </w:tcPr>
          <w:p>
            <w:pPr>
              <w:spacing w:line="276" w:lineRule="auto"/>
              <w:jc w:val="center"/>
              <w:rPr>
                <w:sz w:val="20"/>
                <w:szCs w:val="20"/>
              </w:rPr>
            </w:pPr>
            <w:r>
              <w:rPr>
                <w:sz w:val="20"/>
                <w:szCs w:val="20"/>
              </w:rPr>
              <w:t>试验对象</w:t>
            </w:r>
          </w:p>
        </w:tc>
        <w:tc>
          <w:tcPr>
            <w:tcW w:w="1931" w:type="dxa"/>
            <w:shd w:val="clear" w:color="auto" w:fill="auto"/>
            <w:vAlign w:val="center"/>
          </w:tcPr>
          <w:p>
            <w:pPr>
              <w:spacing w:line="276" w:lineRule="auto"/>
              <w:jc w:val="both"/>
              <w:rPr>
                <w:sz w:val="20"/>
                <w:szCs w:val="20"/>
              </w:rPr>
            </w:pPr>
            <w:r>
              <w:rPr>
                <w:sz w:val="20"/>
                <w:szCs w:val="20"/>
              </w:rPr>
              <w:t>电池系统</w:t>
            </w:r>
          </w:p>
        </w:tc>
        <w:tc>
          <w:tcPr>
            <w:tcW w:w="2011" w:type="dxa"/>
            <w:vMerge w:val="restart"/>
            <w:shd w:val="clear" w:color="auto" w:fill="auto"/>
            <w:vAlign w:val="center"/>
          </w:tcPr>
          <w:p>
            <w:pPr>
              <w:spacing w:line="276" w:lineRule="auto"/>
              <w:jc w:val="both"/>
              <w:rPr>
                <w:sz w:val="20"/>
                <w:szCs w:val="20"/>
              </w:rPr>
            </w:pPr>
            <w:r>
              <w:rPr>
                <w:rFonts w:hint="eastAsia"/>
                <w:sz w:val="20"/>
                <w:szCs w:val="20"/>
              </w:rPr>
              <w:t>N</w:t>
            </w:r>
            <w:r>
              <w:rPr>
                <w:sz w:val="20"/>
                <w:szCs w:val="20"/>
              </w:rPr>
              <w:t>A</w:t>
            </w:r>
          </w:p>
        </w:tc>
        <w:tc>
          <w:tcPr>
            <w:tcW w:w="3196" w:type="dxa"/>
            <w:gridSpan w:val="2"/>
            <w:shd w:val="clear" w:color="auto" w:fill="auto"/>
            <w:vAlign w:val="center"/>
          </w:tcPr>
          <w:p>
            <w:pPr>
              <w:spacing w:line="276" w:lineRule="auto"/>
              <w:jc w:val="both"/>
              <w:rPr>
                <w:sz w:val="20"/>
                <w:szCs w:val="20"/>
              </w:rPr>
            </w:pPr>
            <w:r>
              <w:rPr>
                <w:sz w:val="20"/>
                <w:szCs w:val="20"/>
              </w:rPr>
              <w:t>电池系统、整车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56" w:type="dxa"/>
            <w:shd w:val="clear" w:color="auto" w:fill="auto"/>
            <w:vAlign w:val="center"/>
          </w:tcPr>
          <w:p>
            <w:pPr>
              <w:spacing w:line="276" w:lineRule="auto"/>
              <w:jc w:val="center"/>
              <w:rPr>
                <w:sz w:val="20"/>
                <w:szCs w:val="20"/>
              </w:rPr>
            </w:pPr>
            <w:r>
              <w:rPr>
                <w:sz w:val="20"/>
                <w:szCs w:val="20"/>
              </w:rPr>
              <w:t>SOC状态要求</w:t>
            </w:r>
          </w:p>
        </w:tc>
        <w:tc>
          <w:tcPr>
            <w:tcW w:w="1931" w:type="dxa"/>
            <w:shd w:val="clear" w:color="auto" w:fill="auto"/>
            <w:vAlign w:val="center"/>
          </w:tcPr>
          <w:p>
            <w:pPr>
              <w:spacing w:line="276" w:lineRule="auto"/>
              <w:jc w:val="both"/>
              <w:rPr>
                <w:sz w:val="20"/>
                <w:szCs w:val="20"/>
              </w:rPr>
            </w:pPr>
            <w:r>
              <w:rPr>
                <w:sz w:val="20"/>
                <w:szCs w:val="20"/>
              </w:rPr>
              <w:t>正常的工作范围内的中间状态，只要能够正常运行，可不需要精确的调整。</w:t>
            </w:r>
          </w:p>
        </w:tc>
        <w:tc>
          <w:tcPr>
            <w:tcW w:w="2011" w:type="dxa"/>
            <w:vMerge w:val="continue"/>
            <w:shd w:val="clear" w:color="auto" w:fill="auto"/>
            <w:vAlign w:val="center"/>
          </w:tcPr>
          <w:p>
            <w:pPr>
              <w:spacing w:line="276" w:lineRule="auto"/>
              <w:jc w:val="both"/>
              <w:rPr>
                <w:sz w:val="20"/>
                <w:szCs w:val="20"/>
              </w:rPr>
            </w:pPr>
          </w:p>
        </w:tc>
        <w:tc>
          <w:tcPr>
            <w:tcW w:w="3196" w:type="dxa"/>
            <w:gridSpan w:val="2"/>
            <w:shd w:val="clear" w:color="auto" w:fill="auto"/>
            <w:vAlign w:val="center"/>
          </w:tcPr>
          <w:p>
            <w:pPr>
              <w:spacing w:line="276" w:lineRule="auto"/>
              <w:jc w:val="both"/>
              <w:rPr>
                <w:sz w:val="20"/>
                <w:szCs w:val="20"/>
              </w:rPr>
            </w:pPr>
            <w:r>
              <w:rPr>
                <w:sz w:val="20"/>
                <w:szCs w:val="20"/>
              </w:rPr>
              <w:t>正常的工作范围内的中间状态，只要能够正常运行，可不需要精确的调整。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56" w:type="dxa"/>
            <w:shd w:val="clear" w:color="auto" w:fill="auto"/>
            <w:vAlign w:val="center"/>
          </w:tcPr>
          <w:p>
            <w:pPr>
              <w:spacing w:line="276" w:lineRule="auto"/>
              <w:jc w:val="center"/>
              <w:rPr>
                <w:sz w:val="20"/>
                <w:szCs w:val="20"/>
              </w:rPr>
            </w:pPr>
            <w:r>
              <w:rPr>
                <w:sz w:val="20"/>
                <w:szCs w:val="20"/>
              </w:rPr>
              <w:t>试验温度</w:t>
            </w:r>
          </w:p>
        </w:tc>
        <w:tc>
          <w:tcPr>
            <w:tcW w:w="1931" w:type="dxa"/>
            <w:shd w:val="clear" w:color="auto" w:fill="auto"/>
            <w:vAlign w:val="center"/>
          </w:tcPr>
          <w:p>
            <w:pPr>
              <w:spacing w:line="276" w:lineRule="auto"/>
              <w:jc w:val="both"/>
              <w:rPr>
                <w:sz w:val="20"/>
                <w:szCs w:val="20"/>
              </w:rPr>
            </w:pPr>
            <w:r>
              <w:rPr>
                <w:sz w:val="20"/>
                <w:szCs w:val="20"/>
              </w:rPr>
              <w:t>20 ℃±10 ℃</w:t>
            </w:r>
          </w:p>
        </w:tc>
        <w:tc>
          <w:tcPr>
            <w:tcW w:w="2011" w:type="dxa"/>
            <w:vMerge w:val="continue"/>
            <w:shd w:val="clear" w:color="auto" w:fill="auto"/>
            <w:vAlign w:val="center"/>
          </w:tcPr>
          <w:p>
            <w:pPr>
              <w:spacing w:line="276" w:lineRule="auto"/>
              <w:jc w:val="both"/>
              <w:rPr>
                <w:sz w:val="20"/>
                <w:szCs w:val="20"/>
              </w:rPr>
            </w:pPr>
          </w:p>
        </w:tc>
        <w:tc>
          <w:tcPr>
            <w:tcW w:w="3196" w:type="dxa"/>
            <w:gridSpan w:val="2"/>
            <w:shd w:val="clear" w:color="auto" w:fill="auto"/>
            <w:vAlign w:val="center"/>
          </w:tcPr>
          <w:p>
            <w:pPr>
              <w:spacing w:line="276" w:lineRule="auto"/>
              <w:jc w:val="both"/>
              <w:rPr>
                <w:sz w:val="20"/>
                <w:szCs w:val="20"/>
              </w:rPr>
            </w:pPr>
            <w:r>
              <w:rPr>
                <w:sz w:val="20"/>
                <w:szCs w:val="20"/>
              </w:rPr>
              <w:t>20 ℃±10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56" w:type="dxa"/>
            <w:shd w:val="clear" w:color="auto" w:fill="auto"/>
            <w:vAlign w:val="center"/>
          </w:tcPr>
          <w:p>
            <w:pPr>
              <w:spacing w:line="276" w:lineRule="auto"/>
              <w:jc w:val="center"/>
              <w:rPr>
                <w:sz w:val="20"/>
                <w:szCs w:val="20"/>
              </w:rPr>
            </w:pPr>
            <w:r>
              <w:rPr>
                <w:sz w:val="20"/>
                <w:szCs w:val="20"/>
              </w:rPr>
              <w:t>试验前</w:t>
            </w:r>
          </w:p>
        </w:tc>
        <w:tc>
          <w:tcPr>
            <w:tcW w:w="1931" w:type="dxa"/>
            <w:shd w:val="clear" w:color="auto" w:fill="auto"/>
            <w:vAlign w:val="center"/>
          </w:tcPr>
          <w:p>
            <w:pPr>
              <w:spacing w:line="276" w:lineRule="auto"/>
              <w:jc w:val="both"/>
              <w:rPr>
                <w:sz w:val="20"/>
                <w:szCs w:val="20"/>
              </w:rPr>
            </w:pPr>
            <w:r>
              <w:rPr>
                <w:sz w:val="20"/>
                <w:szCs w:val="20"/>
              </w:rPr>
              <w:t>SOC为正常工作的中间部分。</w:t>
            </w:r>
          </w:p>
        </w:tc>
        <w:tc>
          <w:tcPr>
            <w:tcW w:w="2011" w:type="dxa"/>
            <w:vMerge w:val="continue"/>
            <w:shd w:val="clear" w:color="auto" w:fill="auto"/>
            <w:vAlign w:val="center"/>
          </w:tcPr>
          <w:p>
            <w:pPr>
              <w:spacing w:line="276" w:lineRule="auto"/>
              <w:jc w:val="both"/>
              <w:rPr>
                <w:sz w:val="20"/>
                <w:szCs w:val="20"/>
              </w:rPr>
            </w:pPr>
          </w:p>
        </w:tc>
        <w:tc>
          <w:tcPr>
            <w:tcW w:w="3196" w:type="dxa"/>
            <w:gridSpan w:val="2"/>
            <w:shd w:val="clear" w:color="auto" w:fill="auto"/>
            <w:vAlign w:val="center"/>
          </w:tcPr>
          <w:p>
            <w:pPr>
              <w:spacing w:line="276" w:lineRule="auto"/>
              <w:jc w:val="both"/>
              <w:rPr>
                <w:sz w:val="20"/>
                <w:szCs w:val="20"/>
              </w:rPr>
            </w:pPr>
            <w:r>
              <w:rPr>
                <w:sz w:val="20"/>
                <w:szCs w:val="20"/>
              </w:rPr>
              <w:t>SOC为正常工作的中间部分。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1156" w:type="dxa"/>
            <w:shd w:val="clear" w:color="auto" w:fill="auto"/>
            <w:vAlign w:val="center"/>
          </w:tcPr>
          <w:p>
            <w:pPr>
              <w:spacing w:line="276" w:lineRule="auto"/>
              <w:jc w:val="center"/>
              <w:rPr>
                <w:sz w:val="20"/>
                <w:szCs w:val="20"/>
              </w:rPr>
            </w:pPr>
            <w:r>
              <w:rPr>
                <w:sz w:val="20"/>
                <w:szCs w:val="20"/>
              </w:rPr>
              <w:t>试验中</w:t>
            </w:r>
          </w:p>
        </w:tc>
        <w:tc>
          <w:tcPr>
            <w:tcW w:w="1931" w:type="dxa"/>
            <w:shd w:val="clear" w:color="auto" w:fill="auto"/>
            <w:vAlign w:val="center"/>
          </w:tcPr>
          <w:p>
            <w:pPr>
              <w:spacing w:line="276" w:lineRule="auto"/>
              <w:jc w:val="both"/>
              <w:rPr>
                <w:sz w:val="20"/>
                <w:szCs w:val="20"/>
              </w:rPr>
            </w:pPr>
            <w:r>
              <w:rPr>
                <w:sz w:val="20"/>
                <w:szCs w:val="20"/>
              </w:rPr>
              <w:t>用外部直流供电设备充电，达到规定的最高正常充电电流。电流在5s内从最高正常充电电流增加到过流水平。继续充电，直到结束。</w:t>
            </w:r>
          </w:p>
        </w:tc>
        <w:tc>
          <w:tcPr>
            <w:tcW w:w="2011" w:type="dxa"/>
            <w:vMerge w:val="continue"/>
            <w:shd w:val="clear" w:color="auto" w:fill="auto"/>
            <w:vAlign w:val="center"/>
          </w:tcPr>
          <w:p>
            <w:pPr>
              <w:spacing w:line="276" w:lineRule="auto"/>
              <w:jc w:val="both"/>
              <w:rPr>
                <w:sz w:val="20"/>
                <w:szCs w:val="20"/>
              </w:rPr>
            </w:pPr>
          </w:p>
        </w:tc>
        <w:tc>
          <w:tcPr>
            <w:tcW w:w="3196" w:type="dxa"/>
            <w:gridSpan w:val="2"/>
            <w:shd w:val="clear" w:color="auto" w:fill="auto"/>
            <w:vAlign w:val="center"/>
          </w:tcPr>
          <w:p>
            <w:pPr>
              <w:spacing w:line="276" w:lineRule="auto"/>
              <w:jc w:val="both"/>
              <w:rPr>
                <w:sz w:val="20"/>
                <w:szCs w:val="20"/>
              </w:rPr>
            </w:pPr>
            <w:r>
              <w:rPr>
                <w:sz w:val="20"/>
                <w:szCs w:val="20"/>
              </w:rPr>
              <w:t>用外部直流供电设备充电，达到规定的最高正常充电电流。电流在5s内从最高正常充电电流增加到过流水平。继续充电，直到结束。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56" w:type="dxa"/>
            <w:shd w:val="clear" w:color="auto" w:fill="auto"/>
            <w:vAlign w:val="center"/>
          </w:tcPr>
          <w:p>
            <w:pPr>
              <w:spacing w:line="276" w:lineRule="auto"/>
              <w:jc w:val="center"/>
              <w:rPr>
                <w:sz w:val="20"/>
                <w:szCs w:val="20"/>
              </w:rPr>
            </w:pPr>
            <w:r>
              <w:rPr>
                <w:sz w:val="20"/>
                <w:szCs w:val="20"/>
              </w:rPr>
              <w:t>截止条件</w:t>
            </w:r>
          </w:p>
        </w:tc>
        <w:tc>
          <w:tcPr>
            <w:tcW w:w="1931" w:type="dxa"/>
            <w:shd w:val="clear" w:color="auto" w:fill="auto"/>
            <w:vAlign w:val="center"/>
          </w:tcPr>
          <w:p>
            <w:pPr>
              <w:spacing w:line="276" w:lineRule="auto"/>
              <w:jc w:val="both"/>
              <w:rPr>
                <w:sz w:val="20"/>
                <w:szCs w:val="20"/>
              </w:rPr>
            </w:pPr>
            <w:r>
              <w:rPr>
                <w:sz w:val="20"/>
                <w:szCs w:val="20"/>
              </w:rPr>
              <w:t>终止充电电流</w:t>
            </w:r>
          </w:p>
          <w:p>
            <w:pPr>
              <w:spacing w:line="276" w:lineRule="auto"/>
              <w:jc w:val="both"/>
              <w:rPr>
                <w:sz w:val="20"/>
                <w:szCs w:val="20"/>
              </w:rPr>
            </w:pPr>
            <w:r>
              <w:rPr>
                <w:sz w:val="20"/>
                <w:szCs w:val="20"/>
              </w:rPr>
              <w:t>发出终止充电电流的信号</w:t>
            </w:r>
          </w:p>
          <w:p>
            <w:pPr>
              <w:spacing w:line="276" w:lineRule="auto"/>
              <w:jc w:val="both"/>
              <w:rPr>
                <w:sz w:val="20"/>
                <w:szCs w:val="20"/>
              </w:rPr>
            </w:pPr>
            <w:r>
              <w:rPr>
                <w:sz w:val="20"/>
                <w:szCs w:val="20"/>
              </w:rPr>
              <w:t>温度变化在2 h内小于4 ℃</w:t>
            </w:r>
          </w:p>
        </w:tc>
        <w:tc>
          <w:tcPr>
            <w:tcW w:w="2011" w:type="dxa"/>
            <w:vMerge w:val="continue"/>
            <w:shd w:val="clear" w:color="auto" w:fill="auto"/>
            <w:vAlign w:val="center"/>
          </w:tcPr>
          <w:p>
            <w:pPr>
              <w:spacing w:line="276" w:lineRule="auto"/>
              <w:jc w:val="both"/>
              <w:rPr>
                <w:sz w:val="20"/>
                <w:szCs w:val="20"/>
              </w:rPr>
            </w:pPr>
          </w:p>
        </w:tc>
        <w:tc>
          <w:tcPr>
            <w:tcW w:w="3196" w:type="dxa"/>
            <w:gridSpan w:val="2"/>
            <w:shd w:val="clear" w:color="auto" w:fill="auto"/>
            <w:vAlign w:val="center"/>
          </w:tcPr>
          <w:p>
            <w:pPr>
              <w:spacing w:line="276" w:lineRule="auto"/>
              <w:jc w:val="both"/>
              <w:rPr>
                <w:sz w:val="20"/>
                <w:szCs w:val="20"/>
              </w:rPr>
            </w:pPr>
            <w:r>
              <w:rPr>
                <w:sz w:val="20"/>
                <w:szCs w:val="20"/>
              </w:rPr>
              <w:t>终止充电电流</w:t>
            </w:r>
          </w:p>
          <w:p>
            <w:pPr>
              <w:spacing w:line="276" w:lineRule="auto"/>
              <w:jc w:val="both"/>
              <w:rPr>
                <w:sz w:val="20"/>
                <w:szCs w:val="20"/>
              </w:rPr>
            </w:pPr>
            <w:r>
              <w:rPr>
                <w:sz w:val="20"/>
                <w:szCs w:val="20"/>
              </w:rPr>
              <w:t>温度变化在2 h内小于4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56" w:type="dxa"/>
            <w:shd w:val="clear" w:color="auto" w:fill="auto"/>
            <w:vAlign w:val="center"/>
          </w:tcPr>
          <w:p>
            <w:pPr>
              <w:spacing w:line="276" w:lineRule="auto"/>
              <w:jc w:val="center"/>
              <w:rPr>
                <w:sz w:val="20"/>
                <w:szCs w:val="20"/>
              </w:rPr>
            </w:pPr>
            <w:r>
              <w:rPr>
                <w:sz w:val="20"/>
                <w:szCs w:val="20"/>
              </w:rPr>
              <w:t>试验后</w:t>
            </w:r>
          </w:p>
        </w:tc>
        <w:tc>
          <w:tcPr>
            <w:tcW w:w="1931" w:type="dxa"/>
            <w:shd w:val="clear" w:color="auto" w:fill="auto"/>
            <w:vAlign w:val="center"/>
          </w:tcPr>
          <w:p>
            <w:pPr>
              <w:spacing w:line="276" w:lineRule="auto"/>
              <w:jc w:val="both"/>
              <w:rPr>
                <w:sz w:val="20"/>
                <w:szCs w:val="20"/>
              </w:rPr>
            </w:pPr>
            <w:r>
              <w:rPr>
                <w:sz w:val="20"/>
                <w:szCs w:val="20"/>
              </w:rPr>
              <w:t>试验后观察1h。</w:t>
            </w:r>
          </w:p>
        </w:tc>
        <w:tc>
          <w:tcPr>
            <w:tcW w:w="2011" w:type="dxa"/>
            <w:vMerge w:val="continue"/>
            <w:shd w:val="clear" w:color="auto" w:fill="auto"/>
            <w:vAlign w:val="center"/>
          </w:tcPr>
          <w:p>
            <w:pPr>
              <w:spacing w:line="276" w:lineRule="auto"/>
              <w:jc w:val="both"/>
              <w:rPr>
                <w:sz w:val="20"/>
                <w:szCs w:val="20"/>
              </w:rPr>
            </w:pPr>
          </w:p>
        </w:tc>
        <w:tc>
          <w:tcPr>
            <w:tcW w:w="3196" w:type="dxa"/>
            <w:gridSpan w:val="2"/>
            <w:shd w:val="clear" w:color="auto" w:fill="auto"/>
            <w:vAlign w:val="center"/>
          </w:tcPr>
          <w:p>
            <w:pPr>
              <w:spacing w:line="276" w:lineRule="auto"/>
              <w:jc w:val="both"/>
              <w:rPr>
                <w:sz w:val="20"/>
                <w:szCs w:val="20"/>
              </w:rPr>
            </w:pPr>
            <w:r>
              <w:rPr>
                <w:sz w:val="20"/>
                <w:szCs w:val="20"/>
              </w:rPr>
              <w:t>如果REESS允许，应进行一圈标准循环。试验后观察1h。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156" w:type="dxa"/>
            <w:shd w:val="clear" w:color="auto" w:fill="auto"/>
            <w:vAlign w:val="center"/>
          </w:tcPr>
          <w:p>
            <w:pPr>
              <w:spacing w:line="276" w:lineRule="auto"/>
              <w:jc w:val="center"/>
              <w:rPr>
                <w:sz w:val="20"/>
                <w:szCs w:val="20"/>
              </w:rPr>
            </w:pPr>
            <w:r>
              <w:rPr>
                <w:rFonts w:hint="eastAsia"/>
                <w:sz w:val="20"/>
                <w:szCs w:val="20"/>
              </w:rPr>
              <w:t>判定条件</w:t>
            </w:r>
          </w:p>
        </w:tc>
        <w:tc>
          <w:tcPr>
            <w:tcW w:w="1931" w:type="dxa"/>
            <w:shd w:val="clear" w:color="auto" w:fill="auto"/>
            <w:vAlign w:val="center"/>
          </w:tcPr>
          <w:p>
            <w:pPr>
              <w:spacing w:line="276" w:lineRule="auto"/>
              <w:jc w:val="both"/>
              <w:textAlignment w:val="center"/>
              <w:rPr>
                <w:sz w:val="20"/>
                <w:szCs w:val="20"/>
              </w:rPr>
            </w:pPr>
            <w:r>
              <w:rPr>
                <w:sz w:val="20"/>
                <w:szCs w:val="20"/>
              </w:rPr>
              <w:t>无泄漏、破裂、起火或爆炸</w:t>
            </w:r>
          </w:p>
          <w:p>
            <w:pPr>
              <w:spacing w:line="276" w:lineRule="auto"/>
              <w:jc w:val="both"/>
              <w:rPr>
                <w:sz w:val="20"/>
                <w:szCs w:val="20"/>
              </w:rPr>
            </w:pPr>
            <w:r>
              <w:rPr>
                <w:rFonts w:hint="eastAsia"/>
                <w:sz w:val="20"/>
                <w:szCs w:val="20"/>
              </w:rPr>
              <w:t>绝缘阻抗</w:t>
            </w:r>
            <w:r>
              <w:rPr>
                <w:sz w:val="20"/>
                <w:szCs w:val="20"/>
              </w:rPr>
              <w:t>≥100 Ω/V</w:t>
            </w:r>
          </w:p>
        </w:tc>
        <w:tc>
          <w:tcPr>
            <w:tcW w:w="2011" w:type="dxa"/>
            <w:vMerge w:val="continue"/>
            <w:shd w:val="clear" w:color="auto" w:fill="auto"/>
            <w:vAlign w:val="center"/>
          </w:tcPr>
          <w:p>
            <w:pPr>
              <w:spacing w:line="276" w:lineRule="auto"/>
              <w:jc w:val="both"/>
              <w:textAlignment w:val="center"/>
              <w:rPr>
                <w:sz w:val="20"/>
                <w:szCs w:val="20"/>
              </w:rPr>
            </w:pPr>
          </w:p>
        </w:tc>
        <w:tc>
          <w:tcPr>
            <w:tcW w:w="3196" w:type="dxa"/>
            <w:gridSpan w:val="2"/>
            <w:shd w:val="clear" w:color="auto" w:fill="auto"/>
            <w:vAlign w:val="center"/>
          </w:tcPr>
          <w:p>
            <w:pPr>
              <w:spacing w:line="276" w:lineRule="auto"/>
              <w:jc w:val="both"/>
              <w:rPr>
                <w:sz w:val="20"/>
                <w:szCs w:val="20"/>
              </w:rPr>
            </w:pPr>
            <w:r>
              <w:rPr>
                <w:sz w:val="20"/>
                <w:szCs w:val="20"/>
              </w:rPr>
              <w:t>无电解液泄漏、破裂、排气（开式电池除外）、起火或爆炸</w:t>
            </w:r>
          </w:p>
          <w:p>
            <w:pPr>
              <w:spacing w:line="276" w:lineRule="auto"/>
              <w:jc w:val="both"/>
              <w:rPr>
                <w:sz w:val="20"/>
                <w:szCs w:val="20"/>
              </w:rPr>
            </w:pPr>
            <w:r>
              <w:rPr>
                <w:rFonts w:hint="eastAsia"/>
                <w:sz w:val="20"/>
                <w:szCs w:val="20"/>
              </w:rPr>
              <w:t>绝缘阻抗</w:t>
            </w:r>
            <w:r>
              <w:rPr>
                <w:sz w:val="20"/>
                <w:szCs w:val="20"/>
              </w:rPr>
              <w:t>≥100 Ω/V</w:t>
            </w:r>
          </w:p>
        </w:tc>
      </w:tr>
    </w:tbl>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59" w:name="_Toc64898479"/>
      <w:r>
        <w:rPr>
          <w:rFonts w:hint="eastAsia" w:ascii="黑体" w:hAnsi="黑体" w:eastAsia="黑体" w:cs="宋体"/>
          <w:bCs/>
          <w:color w:val="000000"/>
          <w:kern w:val="0"/>
          <w:sz w:val="24"/>
        </w:rPr>
        <w:t>重大分歧意见的处理过程、处理意见及其依据</w:t>
      </w:r>
      <w:bookmarkEnd w:id="59"/>
    </w:p>
    <w:p>
      <w:pPr>
        <w:spacing w:line="400" w:lineRule="exact"/>
        <w:ind w:firstLine="420"/>
      </w:pPr>
      <w:r>
        <w:rPr>
          <w:rFonts w:hint="eastAsia"/>
        </w:rPr>
        <w:t>无。</w:t>
      </w:r>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60" w:name="_Toc64898480"/>
      <w:r>
        <w:rPr>
          <w:rFonts w:hint="eastAsia" w:ascii="黑体" w:hAnsi="黑体" w:eastAsia="黑体" w:cs="宋体"/>
          <w:bCs/>
          <w:color w:val="000000"/>
          <w:kern w:val="0"/>
          <w:sz w:val="24"/>
        </w:rPr>
        <w:t>对强制性国家标准自发布日期至实施日期之间的过渡期的建议及理由</w:t>
      </w:r>
      <w:bookmarkEnd w:id="60"/>
    </w:p>
    <w:p>
      <w:pPr>
        <w:spacing w:line="360" w:lineRule="auto"/>
        <w:ind w:firstLine="420"/>
        <w:jc w:val="both"/>
      </w:pPr>
      <w:r>
        <w:rPr>
          <w:rFonts w:hint="eastAsia"/>
        </w:rPr>
        <w:t>本标准的实施日期建议如下：本标准对新申请型式批准的车型自标准实施之日起开始执行，对已获得型式批准的车型自标准实施之日起第13个月开始执行。</w:t>
      </w:r>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61" w:name="_Toc64898481"/>
      <w:r>
        <w:rPr>
          <w:rFonts w:hint="eastAsia" w:ascii="黑体" w:hAnsi="黑体" w:eastAsia="黑体" w:cs="宋体"/>
          <w:bCs/>
          <w:color w:val="000000"/>
          <w:kern w:val="0"/>
          <w:sz w:val="24"/>
        </w:rPr>
        <w:t>与实施强制性国家标准有关的政策措施</w:t>
      </w:r>
      <w:bookmarkEnd w:id="61"/>
    </w:p>
    <w:p>
      <w:pPr>
        <w:spacing w:line="360" w:lineRule="auto"/>
        <w:ind w:firstLine="420"/>
        <w:jc w:val="both"/>
        <w:rPr>
          <w:rFonts w:hint="eastAsia" w:eastAsia="宋体"/>
          <w:lang w:val="en-US" w:eastAsia="zh-CN"/>
        </w:rPr>
      </w:pPr>
      <w:r>
        <w:rPr>
          <w:rFonts w:hint="eastAsia"/>
        </w:rPr>
        <w:t>本标准的实施监督管理部门为工业和信息化部</w:t>
      </w:r>
      <w:r>
        <w:rPr>
          <w:rFonts w:hint="eastAsia"/>
          <w:lang w:val="en-US" w:eastAsia="zh-CN"/>
        </w:rPr>
        <w:t>和国家市场监督管理总局。</w:t>
      </w:r>
    </w:p>
    <w:p>
      <w:pPr>
        <w:spacing w:line="360" w:lineRule="auto"/>
        <w:ind w:firstLine="420"/>
        <w:jc w:val="both"/>
      </w:pPr>
      <w:r>
        <w:rPr>
          <w:rFonts w:hint="eastAsia"/>
        </w:rPr>
        <w:t>工业和信息化部发布了《道路机动车辆生产企业及产品准入管理办法》（工业和信息化 部令第 50 号），通过《道路机动车辆生产企业及产品公告》对道路机动车辆生产企业及产品进行准入管理。本强制性国家标准将纳入该管理体系，由工业和信息化部依据本标准对相关产品进行准入管理，并依法对违反强制性国家标准的行为进行处理。</w:t>
      </w:r>
    </w:p>
    <w:p>
      <w:pPr>
        <w:spacing w:line="360" w:lineRule="auto"/>
        <w:ind w:firstLine="420"/>
        <w:jc w:val="both"/>
      </w:pPr>
      <w:r>
        <w:rPr>
          <w:rFonts w:hint="eastAsia"/>
        </w:rPr>
        <w:t>《中华人民共和国标准化法》第二章第十条的规定“对保障人身健康和生命财产安全、国家安全、生态环境安全以及满足经济社会管理基本需要的技术要求，应当制定强制性国家标准。”</w:t>
      </w:r>
    </w:p>
    <w:p>
      <w:pPr>
        <w:spacing w:line="360" w:lineRule="auto"/>
        <w:ind w:firstLine="420"/>
        <w:jc w:val="both"/>
      </w:pPr>
      <w:r>
        <w:rPr>
          <w:rFonts w:hint="eastAsia"/>
        </w:rPr>
        <w:t>《中华人民共和国产品质量法》第十三条规定“可能危及人体健康和人身、财产安全的工业产品，必须符合保障人体健康和人身、财产安全的国家标准、行业标准。”</w:t>
      </w:r>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62" w:name="_Toc64898482"/>
      <w:r>
        <w:rPr>
          <w:rFonts w:hint="eastAsia" w:ascii="黑体" w:hAnsi="黑体" w:eastAsia="黑体" w:cs="宋体"/>
          <w:bCs/>
          <w:color w:val="000000"/>
          <w:kern w:val="0"/>
          <w:sz w:val="24"/>
        </w:rPr>
        <w:t>是否需要对外通报的建议及理由</w:t>
      </w:r>
      <w:bookmarkEnd w:id="62"/>
    </w:p>
    <w:p>
      <w:pPr>
        <w:spacing w:line="360" w:lineRule="auto"/>
        <w:ind w:firstLine="420"/>
        <w:jc w:val="both"/>
      </w:pPr>
      <w:r>
        <w:rPr>
          <w:rFonts w:hint="eastAsia"/>
        </w:rPr>
        <w:t>本标准为强制性国家标准，部分技术条款与国际标准或者与有关国际标准技术要求不完全一致，且本标准涉及人身健康和生命财产安全，依据《强制性国家标准管理办法》与世界贸易组织的要求，需要进行WTO/TBT通报。</w:t>
      </w:r>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63" w:name="_Toc64898483"/>
      <w:r>
        <w:rPr>
          <w:rFonts w:hint="eastAsia" w:ascii="黑体" w:hAnsi="黑体" w:eastAsia="黑体" w:cs="宋体"/>
          <w:bCs/>
          <w:color w:val="000000"/>
          <w:kern w:val="0"/>
          <w:sz w:val="24"/>
        </w:rPr>
        <w:t>废止现行有关标准的建议</w:t>
      </w:r>
      <w:bookmarkEnd w:id="63"/>
    </w:p>
    <w:p>
      <w:pPr>
        <w:spacing w:line="360" w:lineRule="auto"/>
        <w:ind w:firstLine="420"/>
        <w:jc w:val="both"/>
      </w:pPr>
      <w:r>
        <w:rPr>
          <w:rFonts w:hint="eastAsia"/>
        </w:rPr>
        <w:t>自本标准实施之日起废止GB 38031</w:t>
      </w:r>
      <w:r>
        <w:rPr>
          <w:rFonts w:hint="eastAsia"/>
          <w:lang w:eastAsia="zh-CN"/>
        </w:rPr>
        <w:t>—</w:t>
      </w:r>
      <w:r>
        <w:rPr>
          <w:rFonts w:hint="eastAsia"/>
        </w:rPr>
        <w:t>2020。</w:t>
      </w:r>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64" w:name="_Toc64898484"/>
      <w:r>
        <w:rPr>
          <w:rFonts w:hint="eastAsia" w:ascii="黑体" w:hAnsi="黑体" w:eastAsia="黑体" w:cs="宋体"/>
          <w:bCs/>
          <w:color w:val="000000"/>
          <w:kern w:val="0"/>
          <w:sz w:val="24"/>
        </w:rPr>
        <w:t>涉及专利的有关说明</w:t>
      </w:r>
      <w:bookmarkEnd w:id="64"/>
    </w:p>
    <w:p>
      <w:pPr>
        <w:spacing w:line="360" w:lineRule="auto"/>
        <w:ind w:firstLine="420"/>
        <w:jc w:val="both"/>
      </w:pPr>
      <w:r>
        <w:rPr>
          <w:rFonts w:hint="eastAsia"/>
        </w:rPr>
        <w:t>本标准经评估不涉及专利问题。</w:t>
      </w:r>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65" w:name="_Toc64898485"/>
      <w:r>
        <w:rPr>
          <w:rFonts w:hint="eastAsia" w:ascii="黑体" w:hAnsi="黑体" w:eastAsia="黑体" w:cs="宋体"/>
          <w:bCs/>
          <w:color w:val="000000"/>
          <w:kern w:val="0"/>
          <w:sz w:val="24"/>
        </w:rPr>
        <w:t>强制性国家标准所涉及的产品、过程或者服务目录</w:t>
      </w:r>
      <w:bookmarkEnd w:id="65"/>
    </w:p>
    <w:p>
      <w:pPr>
        <w:spacing w:line="360" w:lineRule="auto"/>
        <w:ind w:firstLine="420"/>
        <w:jc w:val="both"/>
      </w:pPr>
      <w:r>
        <w:rPr>
          <w:rFonts w:hint="eastAsia"/>
        </w:rPr>
        <w:t>本标准所规范的产品、过程或服务，主要是动力电池单体、动力电池包或系统，为其安全性能提供产品设计过程规范。</w:t>
      </w:r>
    </w:p>
    <w:p>
      <w:pPr>
        <w:numPr>
          <w:ilvl w:val="0"/>
          <w:numId w:val="1"/>
        </w:numPr>
        <w:autoSpaceDE w:val="0"/>
        <w:autoSpaceDN w:val="0"/>
        <w:adjustRightInd w:val="0"/>
        <w:spacing w:before="156" w:beforeLines="50" w:after="156" w:afterLines="50" w:line="400" w:lineRule="exact"/>
        <w:ind w:left="567" w:hanging="567"/>
        <w:outlineLvl w:val="0"/>
        <w:rPr>
          <w:rFonts w:ascii="黑体" w:hAnsi="黑体" w:eastAsia="黑体" w:cs="宋体"/>
          <w:bCs/>
          <w:color w:val="000000"/>
          <w:kern w:val="0"/>
          <w:sz w:val="24"/>
        </w:rPr>
      </w:pPr>
      <w:bookmarkStart w:id="66" w:name="_Toc64898486"/>
      <w:r>
        <w:rPr>
          <w:rFonts w:hint="eastAsia" w:ascii="黑体" w:hAnsi="黑体" w:eastAsia="黑体" w:cs="宋体"/>
          <w:bCs/>
          <w:color w:val="000000"/>
          <w:kern w:val="0"/>
          <w:sz w:val="24"/>
        </w:rPr>
        <w:t>其他应当予以说明的事项</w:t>
      </w:r>
      <w:bookmarkEnd w:id="31"/>
      <w:bookmarkEnd w:id="66"/>
    </w:p>
    <w:p>
      <w:pPr>
        <w:spacing w:line="400" w:lineRule="exact"/>
        <w:ind w:firstLine="420"/>
      </w:pPr>
      <w:r>
        <w:rPr>
          <w:rFonts w:hint="eastAsia"/>
        </w:rPr>
        <w:t>无。</w:t>
      </w:r>
    </w:p>
    <w:p/>
    <w:p>
      <w:pPr>
        <w:pStyle w:val="19"/>
        <w:spacing w:line="400" w:lineRule="exact"/>
        <w:ind w:left="900" w:firstLine="0"/>
        <w:jc w:val="right"/>
      </w:pPr>
    </w:p>
    <w:p>
      <w:pPr>
        <w:pStyle w:val="19"/>
        <w:spacing w:line="400" w:lineRule="exact"/>
        <w:ind w:left="900" w:firstLine="0"/>
        <w:jc w:val="right"/>
      </w:pPr>
      <w:bookmarkStart w:id="67" w:name="_GoBack"/>
      <w:bookmarkEnd w:id="67"/>
    </w:p>
    <w:sectPr>
      <w:headerReference r:id="rId10" w:type="first"/>
      <w:footerReference r:id="rId12" w:type="first"/>
      <w:headerReference r:id="rId9" w:type="default"/>
      <w:footerReference r:id="rId11"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H-SS9-PK7482000010b-Identity-H">
    <w:altName w:val="Times New Roman"/>
    <w:panose1 w:val="00000000000000000000"/>
    <w:charset w:val="00"/>
    <w:family w:val="roman"/>
    <w:pitch w:val="default"/>
    <w:sig w:usb0="00000000" w:usb1="00000000" w:usb2="00000000" w:usb3="00000000" w:csb0="00000000" w:csb1="00000000"/>
  </w:font>
  <w:font w:name="MicrosoftYaHei">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5"/>
          <w:ind w:firstLine="360"/>
          <w:jc w:val="center"/>
        </w:pPr>
        <w:r>
          <w:fldChar w:fldCharType="begin"/>
        </w:r>
        <w:r>
          <w:instrText xml:space="preserve">PAGE   \* MERGEFORMAT</w:instrText>
        </w:r>
        <w:r>
          <w:fldChar w:fldCharType="separate"/>
        </w:r>
        <w:r>
          <w:rPr>
            <w:lang w:val="zh-CN"/>
          </w:rPr>
          <w:t>18</w:t>
        </w:r>
        <w:r>
          <w:fldChar w:fldCharType="end"/>
        </w:r>
      </w:p>
    </w:sdtContent>
  </w:sdt>
  <w:p>
    <w:pPr>
      <w:pStyle w:val="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1429412"/>
    </w:sdtPr>
    <w:sdtContent>
      <w:p>
        <w:pPr>
          <w:pStyle w:val="5"/>
          <w:ind w:firstLine="360"/>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rPr>
        <w:rFonts w:hint="eastAsia"/>
      </w:rPr>
      <w:t>《电动汽车用动力蓄电池安全要求》（征求意见稿）编制说明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rPr>
        <w:rFonts w:hint="eastAsia"/>
      </w:rPr>
      <w:t>《电动汽车用动力蓄电池安全要求》（征求意见稿）编制说明</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rPr>
        <w:rFonts w:hint="eastAsia"/>
      </w:rPr>
      <w:t>《电动汽车用动力蓄电池安全要求》（征求意见稿）编制说明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85CE5"/>
    <w:multiLevelType w:val="multilevel"/>
    <w:tmpl w:val="10D85CE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86A5B36"/>
    <w:multiLevelType w:val="multilevel"/>
    <w:tmpl w:val="186A5B3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5DE68DF"/>
    <w:multiLevelType w:val="multilevel"/>
    <w:tmpl w:val="25DE68DF"/>
    <w:lvl w:ilvl="0" w:tentative="0">
      <w:start w:val="8"/>
      <w:numFmt w:val="decimal"/>
      <w:lvlText w:val="%1)"/>
      <w:lvlJc w:val="left"/>
      <w:pPr>
        <w:ind w:left="870" w:hanging="360"/>
      </w:pPr>
      <w:rPr>
        <w:rFonts w:hint="default"/>
      </w:rPr>
    </w:lvl>
    <w:lvl w:ilvl="1" w:tentative="0">
      <w:start w:val="1"/>
      <w:numFmt w:val="lowerLetter"/>
      <w:lvlText w:val="%2)"/>
      <w:lvlJc w:val="left"/>
      <w:pPr>
        <w:ind w:left="1350" w:hanging="420"/>
      </w:pPr>
    </w:lvl>
    <w:lvl w:ilvl="2" w:tentative="0">
      <w:start w:val="1"/>
      <w:numFmt w:val="lowerRoman"/>
      <w:lvlText w:val="%3."/>
      <w:lvlJc w:val="right"/>
      <w:pPr>
        <w:ind w:left="1770" w:hanging="420"/>
      </w:pPr>
    </w:lvl>
    <w:lvl w:ilvl="3" w:tentative="0">
      <w:start w:val="1"/>
      <w:numFmt w:val="decimal"/>
      <w:lvlText w:val="%4."/>
      <w:lvlJc w:val="left"/>
      <w:pPr>
        <w:ind w:left="2190" w:hanging="420"/>
      </w:pPr>
    </w:lvl>
    <w:lvl w:ilvl="4" w:tentative="0">
      <w:start w:val="1"/>
      <w:numFmt w:val="lowerLetter"/>
      <w:lvlText w:val="%5)"/>
      <w:lvlJc w:val="left"/>
      <w:pPr>
        <w:ind w:left="2610" w:hanging="420"/>
      </w:pPr>
    </w:lvl>
    <w:lvl w:ilvl="5" w:tentative="0">
      <w:start w:val="1"/>
      <w:numFmt w:val="lowerRoman"/>
      <w:lvlText w:val="%6."/>
      <w:lvlJc w:val="right"/>
      <w:pPr>
        <w:ind w:left="3030" w:hanging="420"/>
      </w:pPr>
    </w:lvl>
    <w:lvl w:ilvl="6" w:tentative="0">
      <w:start w:val="1"/>
      <w:numFmt w:val="decimal"/>
      <w:lvlText w:val="%7."/>
      <w:lvlJc w:val="left"/>
      <w:pPr>
        <w:ind w:left="3450" w:hanging="420"/>
      </w:pPr>
    </w:lvl>
    <w:lvl w:ilvl="7" w:tentative="0">
      <w:start w:val="1"/>
      <w:numFmt w:val="lowerLetter"/>
      <w:lvlText w:val="%8)"/>
      <w:lvlJc w:val="left"/>
      <w:pPr>
        <w:ind w:left="3870" w:hanging="420"/>
      </w:pPr>
    </w:lvl>
    <w:lvl w:ilvl="8" w:tentative="0">
      <w:start w:val="1"/>
      <w:numFmt w:val="lowerRoman"/>
      <w:lvlText w:val="%9."/>
      <w:lvlJc w:val="right"/>
      <w:pPr>
        <w:ind w:left="4290" w:hanging="420"/>
      </w:pPr>
    </w:lvl>
  </w:abstractNum>
  <w:abstractNum w:abstractNumId="3">
    <w:nsid w:val="28C957A9"/>
    <w:multiLevelType w:val="multilevel"/>
    <w:tmpl w:val="28C957A9"/>
    <w:lvl w:ilvl="0" w:tentative="0">
      <w:start w:val="1"/>
      <w:numFmt w:val="japaneseCounting"/>
      <w:lvlText w:val="%1、"/>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AC21CF2"/>
    <w:multiLevelType w:val="multilevel"/>
    <w:tmpl w:val="2AC21CF2"/>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1861796"/>
    <w:multiLevelType w:val="multilevel"/>
    <w:tmpl w:val="31861796"/>
    <w:lvl w:ilvl="0" w:tentative="0">
      <w:start w:val="1"/>
      <w:numFmt w:val="decimal"/>
      <w:lvlText w:val="%1）"/>
      <w:lvlJc w:val="left"/>
      <w:pPr>
        <w:ind w:left="-660" w:hanging="360"/>
      </w:pPr>
      <w:rPr>
        <w:rFonts w:hint="default"/>
      </w:rPr>
    </w:lvl>
    <w:lvl w:ilvl="1" w:tentative="0">
      <w:start w:val="1"/>
      <w:numFmt w:val="lowerLetter"/>
      <w:lvlText w:val="%2)"/>
      <w:lvlJc w:val="left"/>
      <w:pPr>
        <w:ind w:left="-600" w:hanging="420"/>
      </w:pPr>
    </w:lvl>
    <w:lvl w:ilvl="2" w:tentative="0">
      <w:start w:val="1"/>
      <w:numFmt w:val="lowerRoman"/>
      <w:lvlText w:val="%3."/>
      <w:lvlJc w:val="right"/>
      <w:pPr>
        <w:ind w:left="-180" w:hanging="420"/>
      </w:pPr>
    </w:lvl>
    <w:lvl w:ilvl="3" w:tentative="0">
      <w:start w:val="1"/>
      <w:numFmt w:val="decimal"/>
      <w:lvlText w:val="%4."/>
      <w:lvlJc w:val="left"/>
      <w:pPr>
        <w:ind w:left="240" w:hanging="420"/>
      </w:pPr>
    </w:lvl>
    <w:lvl w:ilvl="4" w:tentative="0">
      <w:start w:val="1"/>
      <w:numFmt w:val="lowerLetter"/>
      <w:lvlText w:val="%5)"/>
      <w:lvlJc w:val="left"/>
      <w:pPr>
        <w:ind w:left="660" w:hanging="420"/>
      </w:pPr>
    </w:lvl>
    <w:lvl w:ilvl="5" w:tentative="0">
      <w:start w:val="1"/>
      <w:numFmt w:val="lowerRoman"/>
      <w:lvlText w:val="%6."/>
      <w:lvlJc w:val="right"/>
      <w:pPr>
        <w:ind w:left="1080" w:hanging="420"/>
      </w:pPr>
    </w:lvl>
    <w:lvl w:ilvl="6" w:tentative="0">
      <w:start w:val="1"/>
      <w:numFmt w:val="decimal"/>
      <w:lvlText w:val="%7."/>
      <w:lvlJc w:val="left"/>
      <w:pPr>
        <w:ind w:left="1500" w:hanging="420"/>
      </w:pPr>
    </w:lvl>
    <w:lvl w:ilvl="7" w:tentative="0">
      <w:start w:val="1"/>
      <w:numFmt w:val="lowerLetter"/>
      <w:lvlText w:val="%8)"/>
      <w:lvlJc w:val="left"/>
      <w:pPr>
        <w:ind w:left="1920" w:hanging="420"/>
      </w:pPr>
    </w:lvl>
    <w:lvl w:ilvl="8" w:tentative="0">
      <w:start w:val="1"/>
      <w:numFmt w:val="lowerRoman"/>
      <w:lvlText w:val="%9."/>
      <w:lvlJc w:val="right"/>
      <w:pPr>
        <w:ind w:left="2340" w:hanging="420"/>
      </w:pPr>
    </w:lvl>
  </w:abstractNum>
  <w:abstractNum w:abstractNumId="6">
    <w:nsid w:val="570111E7"/>
    <w:multiLevelType w:val="multilevel"/>
    <w:tmpl w:val="570111E7"/>
    <w:lvl w:ilvl="0" w:tentative="0">
      <w:start w:val="1"/>
      <w:numFmt w:val="decimal"/>
      <w:lvlText w:val="%1)"/>
      <w:lvlJc w:val="left"/>
      <w:pPr>
        <w:ind w:left="840" w:hanging="420"/>
      </w:pPr>
    </w:lvl>
    <w:lvl w:ilvl="1" w:tentative="0">
      <w:start w:val="1"/>
      <w:numFmt w:val="decimalEnclosedCircle"/>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5865631B"/>
    <w:multiLevelType w:val="multilevel"/>
    <w:tmpl w:val="5865631B"/>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6E1B51BD"/>
    <w:multiLevelType w:val="multilevel"/>
    <w:tmpl w:val="6E1B51B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F510D0C"/>
    <w:multiLevelType w:val="multilevel"/>
    <w:tmpl w:val="7F510D0C"/>
    <w:lvl w:ilvl="0" w:tentative="0">
      <w:start w:val="1"/>
      <w:numFmt w:val="decimal"/>
      <w:lvlText w:val="%1）"/>
      <w:lvlJc w:val="left"/>
      <w:pPr>
        <w:ind w:left="510" w:hanging="9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3"/>
  </w:num>
  <w:num w:numId="2">
    <w:abstractNumId w:val="8"/>
  </w:num>
  <w:num w:numId="3">
    <w:abstractNumId w:val="6"/>
  </w:num>
  <w:num w:numId="4">
    <w:abstractNumId w:val="1"/>
  </w:num>
  <w:num w:numId="5">
    <w:abstractNumId w:val="4"/>
  </w:num>
  <w:num w:numId="6">
    <w:abstractNumId w:val="7"/>
  </w:num>
  <w:num w:numId="7">
    <w:abstractNumId w:val="0"/>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845"/>
    <w:rsid w:val="00004AEA"/>
    <w:rsid w:val="000317B1"/>
    <w:rsid w:val="000475B1"/>
    <w:rsid w:val="00062130"/>
    <w:rsid w:val="0006362B"/>
    <w:rsid w:val="00066FC3"/>
    <w:rsid w:val="00072613"/>
    <w:rsid w:val="00093F9F"/>
    <w:rsid w:val="000B1D01"/>
    <w:rsid w:val="000B5A8D"/>
    <w:rsid w:val="000C4B61"/>
    <w:rsid w:val="000E116B"/>
    <w:rsid w:val="000F6020"/>
    <w:rsid w:val="000F65B5"/>
    <w:rsid w:val="001066B5"/>
    <w:rsid w:val="00114B25"/>
    <w:rsid w:val="0012272D"/>
    <w:rsid w:val="0012614A"/>
    <w:rsid w:val="00126C77"/>
    <w:rsid w:val="00136E2E"/>
    <w:rsid w:val="00140180"/>
    <w:rsid w:val="0015379E"/>
    <w:rsid w:val="0016482D"/>
    <w:rsid w:val="00166B2C"/>
    <w:rsid w:val="00167B0A"/>
    <w:rsid w:val="00167C33"/>
    <w:rsid w:val="001826AC"/>
    <w:rsid w:val="0018402F"/>
    <w:rsid w:val="00190093"/>
    <w:rsid w:val="001A5BC0"/>
    <w:rsid w:val="001A7FDA"/>
    <w:rsid w:val="001C34EE"/>
    <w:rsid w:val="001C6382"/>
    <w:rsid w:val="001D5AA0"/>
    <w:rsid w:val="001E5B7D"/>
    <w:rsid w:val="001F7081"/>
    <w:rsid w:val="002047AF"/>
    <w:rsid w:val="0021042E"/>
    <w:rsid w:val="00210DEE"/>
    <w:rsid w:val="00212BDE"/>
    <w:rsid w:val="00213390"/>
    <w:rsid w:val="00214A82"/>
    <w:rsid w:val="002209D8"/>
    <w:rsid w:val="002226BD"/>
    <w:rsid w:val="002245BD"/>
    <w:rsid w:val="002411BE"/>
    <w:rsid w:val="0025583F"/>
    <w:rsid w:val="00260138"/>
    <w:rsid w:val="0027369C"/>
    <w:rsid w:val="00280CC2"/>
    <w:rsid w:val="00295DD6"/>
    <w:rsid w:val="002A65E3"/>
    <w:rsid w:val="002B0CB6"/>
    <w:rsid w:val="002B7E62"/>
    <w:rsid w:val="002C54FB"/>
    <w:rsid w:val="002D1843"/>
    <w:rsid w:val="002E0B57"/>
    <w:rsid w:val="002E1824"/>
    <w:rsid w:val="002E4C6C"/>
    <w:rsid w:val="002F09C6"/>
    <w:rsid w:val="002F2D31"/>
    <w:rsid w:val="002F74F0"/>
    <w:rsid w:val="003062D8"/>
    <w:rsid w:val="0031791C"/>
    <w:rsid w:val="00321B1A"/>
    <w:rsid w:val="00322778"/>
    <w:rsid w:val="00324FFB"/>
    <w:rsid w:val="0033373F"/>
    <w:rsid w:val="00336ED3"/>
    <w:rsid w:val="00345B30"/>
    <w:rsid w:val="00351C89"/>
    <w:rsid w:val="00353F33"/>
    <w:rsid w:val="00361979"/>
    <w:rsid w:val="00364AA0"/>
    <w:rsid w:val="00367457"/>
    <w:rsid w:val="00381E5E"/>
    <w:rsid w:val="0038380F"/>
    <w:rsid w:val="003850D7"/>
    <w:rsid w:val="00395BAB"/>
    <w:rsid w:val="003A4B05"/>
    <w:rsid w:val="003C41ED"/>
    <w:rsid w:val="003D0D80"/>
    <w:rsid w:val="003D23C9"/>
    <w:rsid w:val="003E21E9"/>
    <w:rsid w:val="003F068F"/>
    <w:rsid w:val="003F2BFD"/>
    <w:rsid w:val="00406638"/>
    <w:rsid w:val="00412464"/>
    <w:rsid w:val="00421883"/>
    <w:rsid w:val="00434AD6"/>
    <w:rsid w:val="004366B7"/>
    <w:rsid w:val="00441A6E"/>
    <w:rsid w:val="00455699"/>
    <w:rsid w:val="00455D47"/>
    <w:rsid w:val="004603C7"/>
    <w:rsid w:val="00491213"/>
    <w:rsid w:val="004B1170"/>
    <w:rsid w:val="004B66F6"/>
    <w:rsid w:val="004D0946"/>
    <w:rsid w:val="004E379F"/>
    <w:rsid w:val="004E5933"/>
    <w:rsid w:val="004E7FBC"/>
    <w:rsid w:val="004F0521"/>
    <w:rsid w:val="004F319F"/>
    <w:rsid w:val="00501023"/>
    <w:rsid w:val="0050772F"/>
    <w:rsid w:val="00516162"/>
    <w:rsid w:val="00523A9F"/>
    <w:rsid w:val="00533CEC"/>
    <w:rsid w:val="00545E9E"/>
    <w:rsid w:val="00545EA6"/>
    <w:rsid w:val="00546814"/>
    <w:rsid w:val="00551750"/>
    <w:rsid w:val="00552A94"/>
    <w:rsid w:val="00557B5B"/>
    <w:rsid w:val="00563DE5"/>
    <w:rsid w:val="00586F99"/>
    <w:rsid w:val="00595014"/>
    <w:rsid w:val="00597B9F"/>
    <w:rsid w:val="005B19DC"/>
    <w:rsid w:val="005D28AC"/>
    <w:rsid w:val="005E5508"/>
    <w:rsid w:val="005F3CBB"/>
    <w:rsid w:val="005F461E"/>
    <w:rsid w:val="006112DC"/>
    <w:rsid w:val="0061664A"/>
    <w:rsid w:val="00622DF7"/>
    <w:rsid w:val="0062570C"/>
    <w:rsid w:val="00625C73"/>
    <w:rsid w:val="006261F3"/>
    <w:rsid w:val="00626268"/>
    <w:rsid w:val="006337F9"/>
    <w:rsid w:val="0064078D"/>
    <w:rsid w:val="00640BB2"/>
    <w:rsid w:val="00642DEC"/>
    <w:rsid w:val="00654CB0"/>
    <w:rsid w:val="0066159E"/>
    <w:rsid w:val="0066671E"/>
    <w:rsid w:val="00667C7A"/>
    <w:rsid w:val="00671D75"/>
    <w:rsid w:val="006769EA"/>
    <w:rsid w:val="0068575E"/>
    <w:rsid w:val="00694190"/>
    <w:rsid w:val="00696E52"/>
    <w:rsid w:val="006C0B50"/>
    <w:rsid w:val="006C1179"/>
    <w:rsid w:val="006C63A8"/>
    <w:rsid w:val="006C6636"/>
    <w:rsid w:val="006D7D4D"/>
    <w:rsid w:val="006E02C1"/>
    <w:rsid w:val="006E5F51"/>
    <w:rsid w:val="00700C14"/>
    <w:rsid w:val="00701F97"/>
    <w:rsid w:val="00705B04"/>
    <w:rsid w:val="00706EA6"/>
    <w:rsid w:val="00706F16"/>
    <w:rsid w:val="007248DC"/>
    <w:rsid w:val="007424EA"/>
    <w:rsid w:val="00754C50"/>
    <w:rsid w:val="00776C0C"/>
    <w:rsid w:val="00781B99"/>
    <w:rsid w:val="00786C76"/>
    <w:rsid w:val="007912A8"/>
    <w:rsid w:val="00796370"/>
    <w:rsid w:val="00796A27"/>
    <w:rsid w:val="007A1AA8"/>
    <w:rsid w:val="007A4F39"/>
    <w:rsid w:val="007B186C"/>
    <w:rsid w:val="007B3341"/>
    <w:rsid w:val="007C129F"/>
    <w:rsid w:val="007C1F78"/>
    <w:rsid w:val="007C588F"/>
    <w:rsid w:val="007D3BCA"/>
    <w:rsid w:val="007D5F66"/>
    <w:rsid w:val="007E2EE9"/>
    <w:rsid w:val="007E74F6"/>
    <w:rsid w:val="008010E7"/>
    <w:rsid w:val="008045A0"/>
    <w:rsid w:val="008048E8"/>
    <w:rsid w:val="00805D2E"/>
    <w:rsid w:val="00814265"/>
    <w:rsid w:val="0081704A"/>
    <w:rsid w:val="00817DB3"/>
    <w:rsid w:val="00820218"/>
    <w:rsid w:val="00834302"/>
    <w:rsid w:val="00841A6D"/>
    <w:rsid w:val="00865C1B"/>
    <w:rsid w:val="00877539"/>
    <w:rsid w:val="0088562B"/>
    <w:rsid w:val="00892845"/>
    <w:rsid w:val="008A1E97"/>
    <w:rsid w:val="008A7B99"/>
    <w:rsid w:val="008C09FD"/>
    <w:rsid w:val="008C3CB9"/>
    <w:rsid w:val="008D699E"/>
    <w:rsid w:val="008F163D"/>
    <w:rsid w:val="008F4E93"/>
    <w:rsid w:val="008F6F4E"/>
    <w:rsid w:val="009024EE"/>
    <w:rsid w:val="00903EA4"/>
    <w:rsid w:val="00923B07"/>
    <w:rsid w:val="00945B03"/>
    <w:rsid w:val="009535F8"/>
    <w:rsid w:val="0095555A"/>
    <w:rsid w:val="00963F6F"/>
    <w:rsid w:val="009656D2"/>
    <w:rsid w:val="00971D99"/>
    <w:rsid w:val="00975461"/>
    <w:rsid w:val="00982996"/>
    <w:rsid w:val="00982BCB"/>
    <w:rsid w:val="00990982"/>
    <w:rsid w:val="00994D39"/>
    <w:rsid w:val="009B72EE"/>
    <w:rsid w:val="009B74A4"/>
    <w:rsid w:val="009C18EE"/>
    <w:rsid w:val="009C57F8"/>
    <w:rsid w:val="009D4006"/>
    <w:rsid w:val="009D4CD2"/>
    <w:rsid w:val="009D7D13"/>
    <w:rsid w:val="009E1C60"/>
    <w:rsid w:val="00A1544D"/>
    <w:rsid w:val="00A2748A"/>
    <w:rsid w:val="00A362D9"/>
    <w:rsid w:val="00A40908"/>
    <w:rsid w:val="00A418A3"/>
    <w:rsid w:val="00A4356E"/>
    <w:rsid w:val="00A44B2E"/>
    <w:rsid w:val="00A502F5"/>
    <w:rsid w:val="00A60605"/>
    <w:rsid w:val="00A760C7"/>
    <w:rsid w:val="00A933E4"/>
    <w:rsid w:val="00AB1CE1"/>
    <w:rsid w:val="00AB3CB7"/>
    <w:rsid w:val="00AB5E52"/>
    <w:rsid w:val="00AC5321"/>
    <w:rsid w:val="00AD7475"/>
    <w:rsid w:val="00AE0733"/>
    <w:rsid w:val="00AE345A"/>
    <w:rsid w:val="00AF7A2A"/>
    <w:rsid w:val="00AF7B1B"/>
    <w:rsid w:val="00B02861"/>
    <w:rsid w:val="00B1292A"/>
    <w:rsid w:val="00B214DF"/>
    <w:rsid w:val="00B21CFB"/>
    <w:rsid w:val="00B37D64"/>
    <w:rsid w:val="00B56646"/>
    <w:rsid w:val="00B77E81"/>
    <w:rsid w:val="00B84954"/>
    <w:rsid w:val="00B86095"/>
    <w:rsid w:val="00B86B0A"/>
    <w:rsid w:val="00B93CF6"/>
    <w:rsid w:val="00BB52D4"/>
    <w:rsid w:val="00BB556B"/>
    <w:rsid w:val="00BB727F"/>
    <w:rsid w:val="00BC3942"/>
    <w:rsid w:val="00BD7EBB"/>
    <w:rsid w:val="00C10CFB"/>
    <w:rsid w:val="00C1274E"/>
    <w:rsid w:val="00C263B5"/>
    <w:rsid w:val="00C27B53"/>
    <w:rsid w:val="00C34255"/>
    <w:rsid w:val="00C46ECA"/>
    <w:rsid w:val="00C53A84"/>
    <w:rsid w:val="00C54057"/>
    <w:rsid w:val="00C60D37"/>
    <w:rsid w:val="00C75369"/>
    <w:rsid w:val="00C77104"/>
    <w:rsid w:val="00C779C2"/>
    <w:rsid w:val="00C91ED9"/>
    <w:rsid w:val="00CB12B9"/>
    <w:rsid w:val="00CC131A"/>
    <w:rsid w:val="00CC23AC"/>
    <w:rsid w:val="00CC483B"/>
    <w:rsid w:val="00CD27FC"/>
    <w:rsid w:val="00CD556A"/>
    <w:rsid w:val="00CE001B"/>
    <w:rsid w:val="00CE46DF"/>
    <w:rsid w:val="00CE66B2"/>
    <w:rsid w:val="00D11727"/>
    <w:rsid w:val="00D1249F"/>
    <w:rsid w:val="00D148B1"/>
    <w:rsid w:val="00D272E0"/>
    <w:rsid w:val="00D2752D"/>
    <w:rsid w:val="00D35ED8"/>
    <w:rsid w:val="00D37E10"/>
    <w:rsid w:val="00D50F8D"/>
    <w:rsid w:val="00D52430"/>
    <w:rsid w:val="00D87A3F"/>
    <w:rsid w:val="00D9375A"/>
    <w:rsid w:val="00DA3DE5"/>
    <w:rsid w:val="00DB07F6"/>
    <w:rsid w:val="00DB1E7A"/>
    <w:rsid w:val="00DB2B96"/>
    <w:rsid w:val="00DB7620"/>
    <w:rsid w:val="00DC6D94"/>
    <w:rsid w:val="00DE0D7E"/>
    <w:rsid w:val="00DE539C"/>
    <w:rsid w:val="00DF6694"/>
    <w:rsid w:val="00DF7F00"/>
    <w:rsid w:val="00E00D72"/>
    <w:rsid w:val="00E01EAC"/>
    <w:rsid w:val="00E104CF"/>
    <w:rsid w:val="00E11AD6"/>
    <w:rsid w:val="00E12BD7"/>
    <w:rsid w:val="00E21C97"/>
    <w:rsid w:val="00E30497"/>
    <w:rsid w:val="00E3287C"/>
    <w:rsid w:val="00E41DF8"/>
    <w:rsid w:val="00E476F1"/>
    <w:rsid w:val="00E51E04"/>
    <w:rsid w:val="00E779E5"/>
    <w:rsid w:val="00E81C6E"/>
    <w:rsid w:val="00EA7776"/>
    <w:rsid w:val="00EB0DF3"/>
    <w:rsid w:val="00EB1DF4"/>
    <w:rsid w:val="00EB3970"/>
    <w:rsid w:val="00EB68B4"/>
    <w:rsid w:val="00EB70F3"/>
    <w:rsid w:val="00EC3CBD"/>
    <w:rsid w:val="00EC4B98"/>
    <w:rsid w:val="00EC4F43"/>
    <w:rsid w:val="00EE1173"/>
    <w:rsid w:val="00EE3664"/>
    <w:rsid w:val="00EF600F"/>
    <w:rsid w:val="00F021B4"/>
    <w:rsid w:val="00F346B3"/>
    <w:rsid w:val="00F45D7E"/>
    <w:rsid w:val="00F51814"/>
    <w:rsid w:val="00F5594A"/>
    <w:rsid w:val="00F6014B"/>
    <w:rsid w:val="00F81854"/>
    <w:rsid w:val="00FA39FE"/>
    <w:rsid w:val="00FB180E"/>
    <w:rsid w:val="00FB5694"/>
    <w:rsid w:val="00FD1760"/>
    <w:rsid w:val="00FE1331"/>
    <w:rsid w:val="00FF516F"/>
    <w:rsid w:val="02423F7B"/>
    <w:rsid w:val="0601704F"/>
    <w:rsid w:val="12211667"/>
    <w:rsid w:val="2F76A051"/>
    <w:rsid w:val="37777C87"/>
    <w:rsid w:val="39A76A80"/>
    <w:rsid w:val="3EF71470"/>
    <w:rsid w:val="3FFF0DDD"/>
    <w:rsid w:val="4EFD8A21"/>
    <w:rsid w:val="5306040A"/>
    <w:rsid w:val="5B916A95"/>
    <w:rsid w:val="5C8C229D"/>
    <w:rsid w:val="67B74133"/>
    <w:rsid w:val="695B881F"/>
    <w:rsid w:val="6BDAA99E"/>
    <w:rsid w:val="77EF51E2"/>
    <w:rsid w:val="793F756C"/>
    <w:rsid w:val="7CFF3215"/>
    <w:rsid w:val="7DBF260E"/>
    <w:rsid w:val="7ECEEBC3"/>
    <w:rsid w:val="7F13B173"/>
    <w:rsid w:val="7FFC3520"/>
    <w:rsid w:val="AEBB0478"/>
    <w:rsid w:val="AEFE5F9C"/>
    <w:rsid w:val="BDB7C197"/>
    <w:rsid w:val="DDFE365F"/>
    <w:rsid w:val="EFBF0253"/>
    <w:rsid w:val="F2EFD7E9"/>
    <w:rsid w:val="F573569F"/>
    <w:rsid w:val="F65FDD7E"/>
    <w:rsid w:val="F7F15D17"/>
    <w:rsid w:val="F8F541D5"/>
    <w:rsid w:val="FB9FD52F"/>
    <w:rsid w:val="FBBFF744"/>
    <w:rsid w:val="FEBFF104"/>
    <w:rsid w:val="FEEF47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qFormat/>
    <w:uiPriority w:val="99"/>
  </w:style>
  <w:style w:type="paragraph" w:styleId="4">
    <w:name w:val="Balloon Text"/>
    <w:basedOn w:val="1"/>
    <w:link w:val="22"/>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style>
  <w:style w:type="paragraph" w:styleId="8">
    <w:name w:val="annotation subject"/>
    <w:basedOn w:val="3"/>
    <w:next w:val="3"/>
    <w:link w:val="25"/>
    <w:semiHidden/>
    <w:unhideWhenUsed/>
    <w:qFormat/>
    <w:uiPriority w:val="99"/>
    <w:rPr>
      <w:rFonts w:asciiTheme="minorHAnsi" w:hAnsiTheme="minorHAnsi" w:eastAsiaTheme="minorEastAsia" w:cstheme="minorBidi"/>
      <w:b/>
      <w:bCs/>
      <w:szCs w:val="22"/>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7">
    <w:name w:val="标题 1 字符"/>
    <w:basedOn w:val="11"/>
    <w:link w:val="2"/>
    <w:qFormat/>
    <w:uiPriority w:val="9"/>
    <w:rPr>
      <w:rFonts w:ascii="Times New Roman" w:hAnsi="Times New Roman" w:eastAsia="宋体" w:cs="Times New Roman"/>
      <w:b/>
      <w:bCs/>
      <w:kern w:val="44"/>
      <w:sz w:val="44"/>
      <w:szCs w:val="44"/>
    </w:rPr>
  </w:style>
  <w:style w:type="paragraph" w:customStyle="1" w:styleId="18">
    <w:name w:val="TOC 标题1"/>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styleId="19">
    <w:name w:val="List Paragraph"/>
    <w:basedOn w:val="1"/>
    <w:qFormat/>
    <w:uiPriority w:val="34"/>
    <w:pPr>
      <w:ind w:firstLine="420"/>
    </w:pPr>
  </w:style>
  <w:style w:type="character" w:customStyle="1" w:styleId="20">
    <w:name w:val="fontstyle01"/>
    <w:basedOn w:val="11"/>
    <w:qFormat/>
    <w:uiPriority w:val="0"/>
    <w:rPr>
      <w:rFonts w:hint="eastAsia" w:ascii="宋体" w:hAnsi="宋体" w:eastAsia="宋体"/>
      <w:color w:val="000000"/>
      <w:sz w:val="18"/>
      <w:szCs w:val="18"/>
    </w:rPr>
  </w:style>
  <w:style w:type="character" w:customStyle="1" w:styleId="21">
    <w:name w:val="批注文字 字符"/>
    <w:basedOn w:val="11"/>
    <w:link w:val="3"/>
    <w:qFormat/>
    <w:uiPriority w:val="99"/>
    <w:rPr>
      <w:rFonts w:ascii="Times New Roman" w:hAnsi="Times New Roman" w:eastAsia="宋体" w:cs="Times New Roman"/>
      <w:szCs w:val="24"/>
    </w:rPr>
  </w:style>
  <w:style w:type="character" w:customStyle="1" w:styleId="22">
    <w:name w:val="批注框文本 字符"/>
    <w:basedOn w:val="11"/>
    <w:link w:val="4"/>
    <w:semiHidden/>
    <w:qFormat/>
    <w:uiPriority w:val="99"/>
    <w:rPr>
      <w:rFonts w:ascii="Times New Roman" w:hAnsi="Times New Roman" w:eastAsia="宋体" w:cs="Times New Roman"/>
      <w:sz w:val="18"/>
      <w:szCs w:val="18"/>
    </w:rPr>
  </w:style>
  <w:style w:type="character" w:customStyle="1" w:styleId="23">
    <w:name w:val="fontstyle11"/>
    <w:basedOn w:val="11"/>
    <w:qFormat/>
    <w:uiPriority w:val="0"/>
    <w:rPr>
      <w:rFonts w:hint="default" w:ascii="H-SS9-PK7482000010b-Identity-H" w:hAnsi="H-SS9-PK7482000010b-Identity-H"/>
      <w:color w:val="000000"/>
      <w:sz w:val="38"/>
      <w:szCs w:val="38"/>
    </w:rPr>
  </w:style>
  <w:style w:type="character" w:customStyle="1" w:styleId="24">
    <w:name w:val="fontstyle21"/>
    <w:basedOn w:val="11"/>
    <w:qFormat/>
    <w:uiPriority w:val="0"/>
    <w:rPr>
      <w:rFonts w:hint="eastAsia" w:ascii="宋体" w:hAnsi="宋体" w:eastAsia="宋体"/>
      <w:color w:val="000000"/>
      <w:sz w:val="16"/>
      <w:szCs w:val="16"/>
    </w:rPr>
  </w:style>
  <w:style w:type="character" w:customStyle="1" w:styleId="25">
    <w:name w:val="批注主题 字符"/>
    <w:basedOn w:val="21"/>
    <w:link w:val="8"/>
    <w:semiHidden/>
    <w:qFormat/>
    <w:uiPriority w:val="99"/>
    <w:rPr>
      <w:rFonts w:ascii="Times New Roman" w:hAnsi="Times New Roman" w:eastAsia="宋体" w:cs="Times New Roman"/>
      <w:b/>
      <w:bCs/>
      <w:szCs w:val="24"/>
    </w:rPr>
  </w:style>
  <w:style w:type="table" w:customStyle="1" w:styleId="26">
    <w:name w:val="网格型1"/>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fontstyle31"/>
    <w:basedOn w:val="11"/>
    <w:qFormat/>
    <w:uiPriority w:val="0"/>
    <w:rPr>
      <w:rFonts w:hint="default" w:ascii="MicrosoftYaHei" w:hAnsi="MicrosoftYaHei"/>
      <w:color w:val="000000"/>
      <w:sz w:val="24"/>
      <w:szCs w:val="24"/>
    </w:rPr>
  </w:style>
  <w:style w:type="paragraph" w:customStyle="1" w:styleId="29">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30">
    <w:name w:val="网格型2"/>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1952FE-1BA1-4971-8076-8608A3795F30}">
  <ds:schemaRefs/>
</ds:datastoreItem>
</file>

<file path=docProps/app.xml><?xml version="1.0" encoding="utf-8"?>
<Properties xmlns="http://schemas.openxmlformats.org/officeDocument/2006/extended-properties" xmlns:vt="http://schemas.openxmlformats.org/officeDocument/2006/docPropsVTypes">
  <Template>Normal.dotm</Template>
  <Pages>42</Pages>
  <Words>5033</Words>
  <Characters>28692</Characters>
  <Lines>239</Lines>
  <Paragraphs>67</Paragraphs>
  <TotalTime>4</TotalTime>
  <ScaleCrop>false</ScaleCrop>
  <LinksUpToDate>false</LinksUpToDate>
  <CharactersWithSpaces>33658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2024-04-16T01:56:00Z</dcterms:created>
  <dc:creator>李云伟</dc:creator>
  <cp:lastModifiedBy>李云伟</cp:lastModifiedBy>
  <cp:lastPrinted>2024-04-16T01:57:00Z</cp:lastPrinted>
  <dcterms:modified xsi:type="dcterms:W3CDTF">2024-04-17T04:19:06Z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D3F38E7B0FAF4CF9A07A155DEDD29937</vt:lpwstr>
  </property>
</Properties>
</file>